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F-6970/2018 vom 7. August 2020</w:t>
      </w:r>
    </w:p>
    <w:p>
      <w:r>
        <w:t>Bundesverwaltungsgericht, 2020-08-07, DE</w:t>
      </w:r>
    </w:p>
    <w:p>
      <w:r>
        <w:rPr>
          <w:b/>
        </w:rPr>
        <w:t xml:space="preserve">Quelle: </w:t>
      </w:r>
      <w:r>
        <w:t>https://mcp.opencaselaw.ch/entscheid/bvger_F-6970_2018</w:t>
      </w:r>
    </w:p>
    <w:p>
      <w:r>
        <w:t>FR: TAF F-6970/2018 du 7 août 2020</w:t>
      </w:r>
    </w:p>
    <w:p>
      <w:r>
        <w:t>IT: TAF F-6970/2018 del 7 agosto 2020</w:t>
      </w:r>
    </w:p>
    <w:p>
      <w:pPr>
        <w:pStyle w:val="Heading2"/>
      </w:pPr>
      <w:r>
        <w:t>Regeste</w:t>
      </w:r>
    </w:p>
    <w:p>
      <w:r>
        <w:t>Einreiseverbot</w:t>
      </w:r>
    </w:p>
    <w:p>
      <w:pPr>
        <w:pStyle w:val="Heading2"/>
      </w:pPr>
      <w:r>
        <w:t>Erwägungen</w:t>
      </w:r>
    </w:p>
    <w:p>
      <w:r>
        <w:rPr>
          <w:b/>
        </w:rPr>
        <w:t>E. 1.1</w:t>
      </w:r>
    </w:p>
    <w:p>
      <w:r>
        <w:t>Entscheide des SEM betreffend Gesuche um wiedererwägungsweise Aufhebung beziehungsweise Befristung von Einreiseverboten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Die Vorinstanz hat das Einreiseverbot wiedererwägungsweise auf die Dauer von insgesamt zehn Jahren befristet (bis am 7. September 2024).</w:t>
      </w:r>
    </w:p>
    <w:p>
      <w:r>
        <w:rPr>
          <w:b/>
        </w:rPr>
        <w:t>E. 1.4</w:t>
      </w:r>
    </w:p>
    <w:p>
      <w:r>
        <w:t>Das Bundesverwaltungsgericht entscheidet in der vorliegenden Sache endgültig (Art. 83 Bst. c Ziff. 1 BGG).</w:t>
      </w:r>
    </w:p>
    <w:p>
      <w:r>
        <w:rPr>
          <w:b/>
        </w:rPr>
        <w:t>E. 2</w:t>
      </w:r>
    </w:p>
    <w:p>
      <w:r>
        <w:t>Die Vorinstanz ist auf das Gesuch des Beschwerdeführers um wiedererwägungsweise Befristung des Einreiseverbots eingetreten, hat dieses materiell geprüft und einen neuen Sachentscheid getroffen. Das Bundesverwaltungsgericht kann daher mit voller Kognition (vgl. Art. 49 VwVG) prüfen, ob sich das Einreiseverbot heute noch als bundesrechtskonform erweist. Die Frage, ob die ursprüngliche Verfügung zu Recht erlassen wurde, kann demgegenüber grundsätzlich nicht mehr Gegenstand des vorliegenden Verfahrens bilden (vgl. BVGE 2008/24 E. 2.2 m.H.).</w:t>
      </w:r>
    </w:p>
    <w:p>
      <w:r>
        <w:rPr>
          <w:b/>
        </w:rPr>
        <w:t>E. 3</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Entscheides (vgl. BVGE 2014/1 E. 2 m.H.).</w:t>
      </w:r>
    </w:p>
    <w:p>
      <w:r>
        <w:rPr>
          <w:b/>
        </w:rPr>
        <w:t>E. 4</w:t>
      </w:r>
    </w:p>
    <w:p>
      <w:r>
        <w:t>Am 1. Januar 2019 ist die Teilrevision des Ausländergesetzes vom 16. Dezember 2005 (AuG) abschliessend in Kraft getreten (AS 2018 3171). Dabei wurde auch der Titel des Gesetzes in "Ausländer- und Integrationsgesetz" (AIG) geändert. Das Gericht wendet ab diesem Zeitpunkt die neue Bezeichnung an, mit dem Hinweis, dass die in diesem Urteil behandelten wesentlichen Bestimmungen nicht geändert wurden (vgl. dazu Urteil des BVGer F-1186/2018 vom 10. Januar 2019 E. 2).</w:t>
      </w:r>
    </w:p>
    <w:p>
      <w:r>
        <w:rPr>
          <w:b/>
        </w:rPr>
        <w:t>E. 5.1</w:t>
      </w:r>
    </w:p>
    <w:p>
      <w:r>
        <w:t>Das SEM verfügt Einreiseverbote gegenüber Ausländerinnen und Ausländern, die gegen die öffentliche Sicherheit und Ordnung in der Schweiz oder im Ausland verstossen haben oder diese gefährden (Art. 67 Abs. 2 Bst. a AIG). Das Einreiseverbot wird nach Art. 67 Abs. 3 erster Satz AIG grundsätzlich für eine Dauer von höchstens fünf Jahren verfügt. Es kann für eine längere Dauer angeordnet werden, wenn der Betroffene eine schwerwiegende Gefahr für die öffentliche Sicherheit und Ordnung darstellt (Art. 67 Abs. 3 zweiter Satz AIG). Aus humanitären oder anderen wichtigen Gründen kann von der Verhängung eines Einreiseverbots abgesehen oder ein Einreiseverbot vollständig oder vorübergehend aufgehoben werden (Art. 67 Abs. 5 AIG). Mit dieser Bestimmung existiert eine spezialgesetzliche Grundlage für die Wiedererwägung eines Einreiseverbots (vgl. auch Urteil des BGer 2C_487/2012 vom 2. April 2013 E. 4.2). Ein Verstoss gegen die öffentliche Sicherheit und Ordnung liegt unter anderem vor, wenn gesetzliche Vorschriften oder behördliche Verfügungen missachtet werden (vgl. Art. 80 Abs. 1 Bst. a VZAE in der bis 31. Dezember 2018 geltenden Fassung).</w:t>
      </w:r>
    </w:p>
    <w:p>
      <w:r>
        <w:rPr>
          <w:b/>
        </w:rPr>
        <w:t>E. 5.2</w:t>
      </w:r>
    </w:p>
    <w:p>
      <w:r>
        <w:t>Einreiseverbote wurden gemäss alter Praxis auf unbestimmte Zeit erlassen, wenn zum Zeitpunkt des Erlasses keine zuverlässige Prognose abgegeben werden konnte, wie lange ein relevantes Risiko für die öffentliche Sicherheit und Ordnung anzunehmen ist. Die fehlende Befristung bedeutete keine Lebenslänglichkeit. Verhielt sich die betroffene Person während langer Zeit klaglos, so war dies ein Argument, das für den nachträglichen Wegfall des öffentlichen Sicherheitsbedürfnisses und damit für eine nachträglich wesentlich veränderte Sachlage sprechen konnte. Dabei wurde auf die gesamten Umstände des Einzelfalles abgestellt (vgl. BVGE 2013/4 E. 7.3; BVGE 2008/24 E. 6.2). Seit geraumer Zeit sind Einreiseverbote zwingend auf eine bestimmte Zeitdauer zu befristen (vgl. BVGE 2014/20 E. 6 ff.). Dem hat die Vorinstanz Rechnung getragen, indem sie dem Begehren des Beschwerdeführers um nachträgliche Befristung des Einreiseverbots stattgegeben und die verhängte Fernhaltemassnahme auf zehn Jahre befristete (vgl. Sachverhalt Bst. D.).</w:t>
      </w:r>
    </w:p>
    <w:p>
      <w:r>
        <w:rPr>
          <w:b/>
        </w:rPr>
        <w:t>E. 6</w:t>
      </w:r>
    </w:p>
    <w:p>
      <w:r>
        <w:t>Das SEM hat das gegen den Beschwerdeführer am 13. August 2014 verhängte unbefristete Einreiseverbot in erster Linie mit seiner strafrechtlichen Verurteilung vom 27. März 2013 bzw. 14. Mai 2014 wegen Verbrechens gegen das Betäubungsmittelgesetz (grosse Gesundheitsgefährdung und Bandenbegehung), der Fälschung von Ausweisen, der rechtswidrigen Einreise und des rechtswidrigen Aufenthaltes begründet (vgl. Sachverhalt Bst. A.). Beim Drogendelikt wurde dem Beschwerdeführer vom Strafgericht vorgeworfen, zusammen mit einem Landsmann als Mittäter im Zeitraum zwischen Herbst 2011 und dem 9. Juli 2012 (Datum der Festnahme) insgesamt mindestens 635 g Heroin durchschnittlicher Konsumqualität und Kokain in unbekannter Menge an Drogenkonsumenten verkauft zu haben. Bezüglich seiner Verstösse gegen ausländerrechtliche Vorschriften hielt es das Gericht für erwiesen, dass der Beschwerdeführer spätestens Anfang September 2011 ohne erforderliches Visum, jedoch ausgestattet mit totalgefälschten slowenischen Ausweispapieren, erneut von Frankreich her illegal bei Basel in die Schweiz eingereist war, wo er sich fortan bis zu seiner polizeilichen Anhaltung widerrechtlich aufhielt. Nach dem Gesagten steht damit zweifellos fest, dass der Beschwerdeführer die öffentliche Sicherheit und Ordnung im Sinne von Art. 67 Abs. 2 Bst. a AIG verletzt und einen Fernhaltegrund gesetzt hat.</w:t>
      </w:r>
    </w:p>
    <w:p>
      <w:r>
        <w:rPr>
          <w:b/>
        </w:rPr>
        <w:t>E. 7.1</w:t>
      </w:r>
    </w:p>
    <w:p>
      <w:r>
        <w:t>Die Vorinstanz ist davon ausgegangen, dass nach wie vor ein überwiegendes öffentliches Interesse daran besteht, den Beschwerdeführer länger als fünf Jahre von der Schweiz fernzuhalten (vgl. angefochtene Verfügung vom 24. Oktober 2018). Nachfolgend gilt es somit zu prüfen, ob vom Beschwerdeführer eine noch anhaltende schwerwiegende Gefahr für die öffentliche Sicherheit und Ordnung im Sinne von Art. 67 Abs. 3 zweiter Satz AIG ausgeht (vgl. E. 5.1).</w:t>
      </w:r>
    </w:p>
    <w:p>
      <w:r>
        <w:rPr>
          <w:b/>
        </w:rPr>
        <w:t>E. 7.2</w:t>
      </w:r>
    </w:p>
    <w:p>
      <w:r>
        <w:t>Gemäss der bundesgerichtlichen Rechtsprechung kann sich die schwerwiegende Gefahr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eine aktuelle und schwerwiegende Gefahr zu begründen (BGE 139 II 121 E. 6.3; BVGE 2014/20 E. 5.2, je m.H.).</w:t>
      </w:r>
    </w:p>
    <w:p>
      <w:r>
        <w:rPr>
          <w:b/>
        </w:rPr>
        <w:t>E. 7.3</w:t>
      </w:r>
    </w:p>
    <w:p>
      <w:r>
        <w:t>Die Verneinung des Vorliegens einer schwerwiegenden Gefährdung ist erst nach einer längerfristigen Bewährung der straffällig gewordenen Person möglich. Dabei ist für die Berechnung der Dauer des klaglosen Verhaltens - entgegen der beschwerdeweisen Ausführungen - nicht auf den Begehungs- oder Urteilszeitpunkt abzustellen. Entscheidrelevant erscheint vielmehr, wie lange sich die betroffene Person nach ihrer Entlassung aus der Haft in Freiheit bewährt hat (vgl. BVGE 2014/20 E. 5.4 m.H.; vgl. Urteil des BVGer F-7959/2016 vom 3. Juli 2019 E. 4.5 m.H.). Zudem muss bei schweren Straftaten zum Schutz der Öffentlichkeit ausländerrechtlich selbst ein geringes Restrisiko weiterer Beeinträchtigungen der dadurch gefährdeten Rechtsgüter (Gesundheit, Leib und Leben usw.) nicht in Kauf genommen werden (vgl. BGE 139 I 31 E. 2.3.2 m.H.).</w:t>
      </w:r>
    </w:p>
    <w:p>
      <w:r>
        <w:rPr>
          <w:b/>
        </w:rPr>
        <w:t>E. 7.4</w:t>
      </w:r>
    </w:p>
    <w:p>
      <w:r>
        <w:t>Im Weiteren ist zu beachten, dass Strafrecht und Ausländerrecht unterschiedliche Ziele verfolgen. Während der Strafvollzug auch der Resozialisierung dient, steht für die Migrationsbehörden das Interesse der öffentlichen Ordnung und Sicherheit im Vordergrund. Daraus ergibt sich im Ausländerrecht ein im Vergleich mit den Straf- und Strafvollzugsbehörden strengerer Beurteilungsmassstab (vgl. BGE 137 II 233 E. 5.2.2 m.H.). Der Beschwerdeführer vermag deshalb aus dem Umstand, dass er sich freiwillig in den vorzeitigen Strafvollzug begeben und anschliessend problemlos die Schweiz verlassen hat, nichts zu seinen Gunsten abzuleiten.</w:t>
      </w:r>
    </w:p>
    <w:p>
      <w:r>
        <w:rPr>
          <w:b/>
        </w:rPr>
        <w:t>E. 7.5</w:t>
      </w:r>
    </w:p>
    <w:p>
      <w:r>
        <w:t>Nach seiner Entlassung aus dem Strafvollzug kehrte der Beschwerdeführer den Angaben seiner Rechtsvertreterin zufolge am 8. September 2014 in sein Heimatland zurück. Obwohl er bislang offenbar nicht mehr strafrechtlich in Erscheinung getreten ist, kann aufgrund der Schwere und Art der begangenen Drogendelikte - Beteiligung am Handel von mindestens 635 g Heroin durchschnittlicher Konsumqualität und Kokain in unbekannter Menge - eine schwere Gefährdung der öffentlichen Ordnung und Sicherheit nach wie vor nicht ausgeschlossen werden (vgl. zur Hochwertigkeit der involvierten Rechtsgüter und zum strengen Beurteilungsmassstab bei Drogendelikten: BGE 139 I 145 E. 2.5 und BVGer F-7607/2015 vom 25. Juli 2016 E. 6.5). Dabei fällt besonders ins Gewicht, dass sich der Beschwerdeführer durch die Menge der verkauften Drogen der Gefährdung der Gesundheit vieler Menschen schuldig gemacht hatte; zudem waren die Straftaten bandenmässig verübt worden. Soweit die Rechtsvertreterin den Beschwerdeführer lediglich als Kleindealer ohne grosse kriminelle Energie darzustellen versucht, gilt es auf das Strafurteil des Kantons Basel-Stadt vom 27. März 2013 zu verweisen, wonach die Beschuldigten angesichts der hohen Beträge beschlagnahmter Drogengelder innerhalb der Hierarchie zumindest dem "oberen mittleren Kader" angehörten.</w:t>
      </w:r>
    </w:p>
    <w:p>
      <w:r>
        <w:rPr>
          <w:b/>
        </w:rPr>
        <w:t>E. 7.6</w:t>
      </w:r>
    </w:p>
    <w:p>
      <w:r>
        <w:t>Auch wenn die besagten Straftaten im Jahre 2011 bzw. 2012 begangen wurden, so ist die Wahrscheinlichkeit der Realisierung weiterer Straftaten nach wie vor als gross zu erachten. In Anbetracht der Schwere seiner Drogendelikte erscheint eine Bewährungsfrist von sechs Jahren aus ausländerrechtlicher Perspektive als zu kurz, als dass die schwere Gefährdung der öffentlichen Ordnung und Sicherheit zum heutigen Zeitpunkt verneint werden könnte (vgl. Urteil des BVGer F-395/2016 vom 18. Januar 2018 E. 6.3). Demzufolge kann gegenüber dem Beschwerdeführer gestützt auf Art. 67 Abs. 3 zweiter Satz AIG nach wie vor ein über fünf Jahre dauerndes Einreiseverbot erlassen werden, was auch von seiner Rechtsvertreterin nicht in Abrede gestellt wird (vgl. BVGE 2013/4 E. 5.2 und E. 7.2; BGE 139 I 31 E. 2.3.2). Die Vorinstanz ist demzufolge zu Recht davon ausgegangen, vorliegend rechtfertige sich eine lange andauernde Fernhaltemassnahme. An dieser Einschätzung vermögen auch die teilweise bagatellisierenden Erklärungen des Beschwerdeführers nichts zu ändern.</w:t>
      </w:r>
    </w:p>
    <w:p>
      <w:r>
        <w:rPr>
          <w:b/>
        </w:rPr>
        <w:t>E. 8.1</w:t>
      </w:r>
    </w:p>
    <w:p>
      <w:r>
        <w:t>Es bleibt zu prüfen, ob die Dauer der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Rz. 555 ff.).</w:t>
      </w:r>
    </w:p>
    <w:p>
      <w:r>
        <w:rPr>
          <w:b/>
        </w:rPr>
        <w:t>E. 8.2</w:t>
      </w:r>
    </w:p>
    <w:p>
      <w:r>
        <w:t>Das Einreiseverbot soll in seiner spezialpräventiven Wirkung weitere Straftaten des Beschwerdeführers in der Schweiz sowie im Schengen-Raum verhindern und ihn dazu anhalten, bei einer allfälligen künftigen Wiedereinreise keine weiteren Verstösse gegen die öffentliche Ordnung und Sicherheit zu begehen. In generalpräventiver Hinsicht soll die öffentliche Sicherheit und Ordnung durch eine konsequente Massnahmenpraxis geschützt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w:t>
      </w:r>
    </w:p>
    <w:p>
      <w:r>
        <w:rPr>
          <w:b/>
        </w:rPr>
        <w:t>E. 8.3</w:t>
      </w:r>
    </w:p>
    <w:p>
      <w:r>
        <w:t>Den sich aus den vorstehenden Ausführungen ergebenden öffentlichen Interessen sind die privaten Interessen des Betroffenen gegenüberzustellen. Der Beschwerdeführer macht in diesem Zusammenhang geltend, er habe sich im Kosovo eine neue Existenz aufgebaut und eine Baufirma gegründet, welche rund 20 Angestellte beschäftige. Die Fernhaltemassnahme mit Auswirkungen auf den ganzen Schengen-Raum behindere ihn in seiner geschäftlichen Tätigkeit. Zudem könne er seine Verwandtschaft, welche in Europa verstreut sei, nicht besuchen. Die Vorinstanz hielt in ihrer Vernehmlassung zu Recht fest, der Umstand, dass der Beschwerdeführer durch das gegen ihn verhängte Einreiseverbot in seiner Bewegungsfreiheit als Unternehmer eingeschränkt sei, habe er sich durch sein kriminelles Verhalten als Drogenhändler während seines Aufenthaltes in der Schweiz selber zuzuschreiben. Den Akten zufolge hatte er in der Vergangenheit überdies die Möglichkeit, jeweils einen Vertreter seiner Firma zu geschäftlichen Zwecken in den Schengen-Raum zu entsenden, was sich offenbar bisher bewährt hat und weiterhin fortgeführt werden kann. Ferner stehen ihm in seinem Aufenthaltsstaat diverse Kommunikationsmittel - wie etwa Briefverkehr, E-Mail, Videotelefonie, Telefonate - zur Verfügung, um mit seinen Geschäftspartnern respektive seinen Verwandten in Kontakt zu treten (vgl. statt vieler BVGE 2013/4 E. 7.4.3).</w:t>
      </w:r>
    </w:p>
    <w:p>
      <w:r>
        <w:rPr>
          <w:b/>
        </w:rPr>
        <w:t>E. 8.4</w:t>
      </w:r>
    </w:p>
    <w:p>
      <w:r>
        <w:t>Eine wertende Gewichtung der gegenläufigen öffentlichen und privaten Interessen führt das Bundesverwaltungsgericht zum Ergebnis, dass das auf zehn Jahre befristete Einreiseverbot unter Berücksichtigung aller relevanten Beurteilungselemente (Verletzung besonders hochwertiger Rechtsgüter und schlechte Legalprognose, Verurteilung wegen qualifizierten Betäubungsmitteldelikten) und im Vergleich zu ähnlich gelagerten Fällen eine verhältnismässige und angemessene Massnahme darstellt.</w:t>
      </w:r>
    </w:p>
    <w:p>
      <w:r>
        <w:rPr>
          <w:b/>
        </w:rPr>
        <w:t>E. 9</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[EG] Nr. 1987/2006 vom 20. Dezember 2006 über die Einrichtung, den Betrieb und die Nutzung des Schengener Informationssystems der zweiten Generation [SIS-II], Abl. L 381/4 vom 28.12.2006; Art. 21 der N-SIS-Verordnung vom 8. März 2013 [SR 362.0]). Nicht zu beanstanden ist deshalb die Beibehaltung der bereits mit Verfügung vom 13. August 2014 bewirkten Ausschreibung des Beschwerdeführers im SIS. Mit Verweis auf die vorangegangenen Ausführungen ist ein überwiegendes öffentliches Interesse nicht nur der Schweiz, sondern sämtlicher Schengen-Staaten an der längerfristigen Fernhaltung des Beschwerdeführers gegeben.</w:t>
      </w:r>
    </w:p>
    <w:p>
      <w:r>
        <w:rPr>
          <w:b/>
        </w:rPr>
        <w:t>E. 10</w:t>
      </w:r>
    </w:p>
    <w:p>
      <w:r>
        <w:t>Aus diesen Erwägungen ergibt sich, dass die angefochtene Verfügung im Lichte von Art. 49 VwVG nicht zu beanstanden ist. Die Beschwerde ist so-mit abzuweisen.</w:t>
      </w:r>
    </w:p>
    <w:p>
      <w:r>
        <w:rPr>
          <w:b/>
        </w:rPr>
        <w:t>E. 11</w:t>
      </w:r>
    </w:p>
    <w:p>
      <w:r>
        <w:t>Entsprechend dem Ausgang des Verfahrens sind die Kosten dem Beschwerdeführer aufzuerlegen (vgl. Art. 63 Abs. 1 VwVG i.V.m. Art. 1 ff. des Reglements vom 21. Februar 2008 über die Kosten und Entschädigungen vor dem Bundesverwaltungsgericht [VGKE, SR 173.320.2]). Die Verfahrenskosten von Fr. 1'500.- sind durch den von ihm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