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F-695/2024 vom 8. Februar 2024</w:t>
      </w:r>
    </w:p>
    <w:p>
      <w:r>
        <w:t>Bundesverwaltungsgericht, 2024-02-08, DE</w:t>
      </w:r>
    </w:p>
    <w:p>
      <w:r>
        <w:rPr>
          <w:b/>
        </w:rPr>
        <w:t xml:space="preserve">Quelle: </w:t>
      </w:r>
      <w:r>
        <w:t>https://mcp.opencaselaw.ch/entscheid/bvger_F-695_2024</w:t>
      </w:r>
    </w:p>
    <w:p>
      <w:r>
        <w:t>FR: TAF F-695/2024 du 8 février 2024</w:t>
      </w:r>
    </w:p>
    <w:p>
      <w:r>
        <w:t>IT: TAF F-695/2024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monieren, die Vorinstanz habe insbesondere eine drohende Verletzung von Art. 3 EMRK im Falle einer Kettenabschiebung sowie den Zugang zu Unterkunft und medizinischer Betreuung in Kroatien in keiner Weise berücksichtigt und nicht genügend abgeklärt, ob bei einer Überstellung nach Kroatien eine Verschlechterung des Gesundheitszustandes drohe. Damit habe sie den Sachverhalt unvollständig festgestellt.</w:t>
      </w:r>
    </w:p>
    <w:p>
      <w:r>
        <w:rPr>
          <w:b/>
        </w:rPr>
        <w:t>E. 3.2</w:t>
      </w:r>
    </w:p>
    <w:p>
      <w:r>
        <w:t>Die Vorinstanz ist ausführlich sowohl auf die Situation der Push-backs beziehungsweise Kettenabschiebungen als auch auf die medizinische Versorgung in Kroatien eingegangen und hat hierbei ebenso die individuelle Situation der Beschwerdeführenden ausreichend berücksichtigt. Es ist nicht ersichtlich, inwiefern die Vorinstanz den Sachverhalt unvollständig abgeklärt haben soll, stützte sie doch ihre Erwägungen zu den Push-backs und zu Dublin-Rückkehrenden sowohl auf die fundierten Abklärungen der zuständigen Schweizerischen Botschaft in Kroatien als auch auf die einschlägige Rechtsprechung des Bundesverwaltungsgerichts. Eine Verletzung des Untersuchungsgrundsatzes (Art. 12 VwVG) ist nicht ersichtlich.</w:t>
      </w:r>
    </w:p>
    <w:p>
      <w:r>
        <w:rPr>
          <w:b/>
        </w:rPr>
        <w:t>E. 3.3</w:t>
      </w:r>
    </w:p>
    <w:p>
      <w:r>
        <w:t>Die Beschwerdeführerin führte am 10. Januar 2024 im Rahmen des rechtlichen Gehörs in Bezug auf ihre psychische Gesundheit an, unter Schlaflosigkeit sowie Müdigkeit zu leiden. In Bezug auf die geltend gemachten Schmerzen im linken Knie beziehungsweise die Prellung am rechten Bein habe sie vom Arzt eine muskelentspannende Creme sowie Tabletten verschrieben erhalten. Als sie erneut beim Arzt habe vorbeigehen wollen, habe sie aufgrund vieler Patienten keinen Termin erhalten. Gemäss Ausführungen im Rahmen des rechtlichen Gehörs wurde sie aufgefordert, sich bei Behandlungsbedarf nochmals an das Gesundheitspersonal in der Unterkunft zu wenden. Dies ist - soweit ersichtlich - nicht erfolgt. Sodann reichte die damalige Rechtsvertretung weder medizinische Unterlagen zu ihrem psychischen Gesundheitszustand ein, noch finden sich in den Akten Hinweise darauf, dass die Beschwerdeführerin diesbezüglich bei der Pflege vorstellig geworden wäre. So handelt es sich bei der Aussage der Beschwerdeführenden, nie einen Termin bei einem Arzt erhalten zu haben, um eine nicht substantiiert dargelegte, reine Parteibehauptung. Bei dieser Sachlage drängten sich weitere Untersuchungen und Abklärungen durch die Vorinstanz nicht auf. Die Beschwerdeführenden reichen auch auf Beschwerdeebene keine medizinischen Unterlagen ein und bringen nichts vor, was darauf schliessen liesse, dass der medizinische Sachverhalt unvollständig abgeklärt worden wäre.</w:t>
      </w:r>
    </w:p>
    <w:p>
      <w:r>
        <w:rPr>
          <w:b/>
        </w:rPr>
        <w:t>E. 3.4</w:t>
      </w:r>
    </w:p>
    <w:p>
      <w:r>
        <w:t>Die formellen Rügen erweisen sich als unbegründet. Es besteht keine Veranlassung, die Sache zur Sachverhaltsfeststellung und Neubeurteilung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4.4</w:t>
      </w:r>
    </w:p>
    <w:p>
      <w:r>
        <w:t>Ein Abgleich der Fingerabdrücke des Beschwerdeführers ergab, dass er am (...) in Kroatien daktyloskopisch erfasst wurde. Gleichentags stellte er gemäss Auszug aus der «Eurodac»-Datenbank sein Asylgesuch. Gemäss Aussagen der Beschwerdeführerin wurden in Kroatien auch ihre Fingerabdrücke abgenommen, konnten jedoch nicht ausgelesen werden. Die kroatischen Behörden stimmten dem Wiederaufnahmeersuchen der Vorinstanz - im Wissen um die Umstände auch in Bezug auf die Beschwerdeführerin - gestützt auf Art. 20 Abs. 5 Dublin-III-VO zu. Somit sind sowohl die Antragsstellung in Kroatien - auch seitens der Beschwerdeführerin - als auch der Umstand, dass das kroatische Verfahren zur Bestimmung des für die Asylgesuche der Beschwerdeführenden zuständigen Mitgliedstaats gemäss Art. 20 Abs. 5 Dublin-III-VO noch nicht abgeschlossen wurde, als erstellt zu betrachten mit der Folge, dass das Verfahren nach einer Rücküberstellung der Beschwerdeführenden fortgesetzt wird. Dem Einwand der Beschwerdeführenden, sie seien in Kroatien zur Abgabe ihrer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Beim Vorbringen, es sei kein Dolmetscher vor Ort gewesen und es seien ihnen unübersetzte kroatische Dokumente zur Unterschrift vorgelegt worden, handelt es sich schliesslich um eine unbelegte Parteibehauptung. Ferner ist darauf hinzuweisen, dass die entsprechenden Informationen auch anlässlich des persönlichen Gesprächs - in einer Sprache, die die Beschwerdeführenden verstehen - gemäss Art. 5 Dublin-III-VO vermittelt werden können (Art. 4 Abs. 2 Unterabsatz 2 Dublin-III-VO). Zusammenfassend ist die Zuständigkeit Kroatiens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 charge" (Aufnahme) als auch in "take back" (Wiederaufnahme)-Verfahren zulässig. Die in der Beschwerde genannten Berichte und Urteile, die teilweise zeitlich nach dem Referenzurteil datieren, vermögen daran nichts zu ändern.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6.2.1</w:t>
      </w:r>
    </w:p>
    <w:p>
      <w:r>
        <w:t>Die Beschwerdeführenden machen geltend, ein Polizist sei extrem wütend geworden und habe damit gedroht, sie in die Türkei abzuschieben. Er habe ihnen sämtliche Wertgegenstände abgenommen. Sie hätten den ganzen Tag weder Essen noch Trinken erhalten. Als die Beschwerdeführerin sich geweigert habe, ein kroatisches Dokument zu unterschreiben, hätten die anwesenden Personen sie angeschrien und auf den Tisch geschlagen. Die Polizisten hätten den Beschwerdeführer mit körperlicher Gewalt gezwungen, seine Fingerabdrücke abzugeben. Sie hätten miterlebt, wie Freunde von ihnen brutal zusammengeschlagen worden seien.</w:t>
      </w:r>
    </w:p>
    <w:p>
      <w:r>
        <w:rPr>
          <w:b/>
        </w:rPr>
        <w:t>E. 6.2.2</w:t>
      </w:r>
    </w:p>
    <w:p>
      <w:r>
        <w:t>Die geltend gemachte Polizeigewalt wird weder belegt noch substantiiert dargelegt. Sodann sind die Ausführungen der Beschwerdeführenden im Rahmen des rechtlichen Gehörs auch nicht vollends deckungsgleich. So brachte die Beschwerdeführerin vor, der Beschwerdeführer sei ebenfalls geschlagen worden. Dies verneinte dieser jedoch explizit. Die Beschwerdeführenden vermögen nicht darzutun, dass die sie bei einer Rückführung nach Kroatien zu erwartenden Bedingungen derart schlecht sind, dass sie zu einer Verletzung von Art. 3 EMRK führen könnten. Es bestehen auch keine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ändert auch nichts, dass die Beschwerdeführenden vorbringen, ein Polizist habe angedroht, sie - bei fehlender Auskunft über ihr Reiseziel - in die Türkei zurückzuschicken.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ihnen die Möglichkeit offen, die vor Ort tätigen karitativen Organisationen zu kontaktieren.</w:t>
      </w:r>
    </w:p>
    <w:p>
      <w:r>
        <w:rPr>
          <w:b/>
        </w:rPr>
        <w:t>E. 6.3.1</w:t>
      </w:r>
    </w:p>
    <w:p>
      <w:r>
        <w:t>Was den medizinischen Sachverhalt anbelangt, so kann eine zwangsweise Rückweisung von Personen mit gesundheitlichen Problemen nur ausnahmsweise einen Verstoss gegen Art. 3 EMRK darstellen (vgl. BVGE 2011/9 E. 7 und Urteil des EGMR Paposhvili gegen Belgien vom 13. Dezember 2016, Grosse Kammer, Nr. 41738/10, §§ 180-193., bestätigt durch Urteil des EGMR Savran gegen Dänemark vom 7. Dezember 2021, Grosse Kammer, Nr. 57467/15, §§ 121 ff.).</w:t>
      </w:r>
    </w:p>
    <w:p>
      <w:r>
        <w:rPr>
          <w:b/>
        </w:rPr>
        <w:t>E. 6.3.2</w:t>
      </w:r>
    </w:p>
    <w:p>
      <w:r>
        <w:t>Es besteht kein Grund zur Annahme, die Gesundheit der Beschwerdeführenden würde bei einer Überstellung nach Kroatien ernsthaft gefährdet. Die von Beschwerdeführenden geltend gemachten psychischen Beschwerden in Form von Schlaflosigkeit und Albträumen dürften - sofern überhaupt nötig - einer Behandlung in Kroatien zugänglich sein. Eine psychische Erkrankung ist aktuell nicht dokumentiert. Sodann erwähnen sie die im Rahmen des rechtlichen Gehörs geltend gemachten Schmerzen am linken Knie beziehungsweise die Prellung am rechten Bein der Beschwerdeführerin nicht mehr. Hinweise, wonach sie deswegen bei der Pflege vorstellig geworden wäre, finden sich in den Akten nicht. Sollten die Beschwerdeführenden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Schliesslich hat die Vorinstanz ihr Ermessen nicht unterschritten, indem sie humanitäre Gründe im Sinne von Art. 29a Abs. 3 AsylV 1 verneinte.</w:t>
      </w:r>
    </w:p>
    <w:p>
      <w:r>
        <w:rPr>
          <w:b/>
        </w:rPr>
        <w:t>E. 6.4</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Es besteht kein Anlass, die Vorinstanz anzuweisen, explizit Zusicherungen hinsichtlich Obdach, Nahrung und adäquate und regelmässige medizinische sowie psychologische Behandlung bei den kroatischen Behörden einzuholen (vgl. Referenzurteil E-1488/2020 E. 12). Das entsprechende Subeventualbegehren ist ebenfalls abzuweisen.</w:t>
      </w:r>
    </w:p>
    <w:p>
      <w:r>
        <w:rPr>
          <w:b/>
        </w:rPr>
        <w:t>E. 8</w:t>
      </w:r>
    </w:p>
    <w:p>
      <w:r>
        <w:t>Die Vorinstanz ist demnach zu Recht auf die Asylgesuche der Beschwerde-führenden nicht eingetreten und hat die Wegweisung nach Kroatien angeordnet.</w:t>
      </w:r>
    </w:p>
    <w:p>
      <w:r>
        <w:rPr>
          <w:b/>
        </w:rPr>
        <w:t>E. 9</w:t>
      </w:r>
    </w:p>
    <w:p>
      <w:r>
        <w:t>Nach dem Gesagten ist die Beschwerde abzuweisen. Mit dem vorliegenden Urteil fällt der am 2. Februar 2024 angeordnete superprovisorische Vollzugsstopp dahin. Das Gesuch um Erteilung der aufschiebenden Wirkung ist gegenstandslos geworden.</w:t>
      </w:r>
    </w:p>
    <w:p>
      <w:r>
        <w:rPr>
          <w:b/>
        </w:rPr>
        <w:t>E. 10</w:t>
      </w:r>
    </w:p>
    <w:p>
      <w:r>
        <w:t>Eine Koordination mit dem Verfahren der Tochter der Beschwerdeführenden erübrigt sich, da über deren Verfahren bereits mit Urteil des Bundesverwaltungsgerichts E-6310/2023 vom 23. November 2023 rechtskräftig entschieden worden ist.</w:t>
      </w:r>
    </w:p>
    <w:p>
      <w:r>
        <w:rPr>
          <w:b/>
        </w:rPr>
        <w:t>E. 11.1</w:t>
      </w:r>
    </w:p>
    <w:p>
      <w:r>
        <w:t>Die Begehren erweisen sich als aussichtslos, weshalb das Gesuch um unentgeltliche Prozessführung abzuweisen ist.</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SR173.320.2]).</w:t>
      </w:r>
    </w:p>
    <w:p>
      <w:r>
        <w:rPr>
          <w:b/>
        </w:rPr>
        <w:t>E. 12</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