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F-6955/2015 vom 25. Juli 2016</w:t>
      </w:r>
    </w:p>
    <w:p>
      <w:r>
        <w:t>Bundesverwaltungsgericht, 2016-07-25, DE</w:t>
      </w:r>
    </w:p>
    <w:p>
      <w:r>
        <w:rPr>
          <w:b/>
        </w:rPr>
        <w:t xml:space="preserve">Quelle: </w:t>
      </w:r>
      <w:r>
        <w:t>https://mcp.opencaselaw.ch/entscheid/bvger_F-6955_2015</w:t>
      </w:r>
    </w:p>
    <w:p>
      <w:r>
        <w:t>FR: TAF F-6955/2015 du 25 juillet 2016</w:t>
      </w:r>
    </w:p>
    <w:p>
      <w:r>
        <w:t>IT: TAF F-6955/2015 del 25 luglio 2016</w:t>
      </w:r>
    </w:p>
    <w:p>
      <w:pPr>
        <w:pStyle w:val="Heading2"/>
      </w:pPr>
      <w:r>
        <w:t>Regeste</w:t>
      </w:r>
    </w:p>
    <w:p>
      <w:r>
        <w:t>Einreiseverbot</w:t>
      </w:r>
    </w:p>
    <w:p>
      <w:pPr>
        <w:pStyle w:val="Heading2"/>
      </w:pPr>
      <w:r>
        <w:t>Erwägungen</w:t>
      </w:r>
    </w:p>
    <w:p>
      <w:r>
        <w:rPr>
          <w:b/>
        </w:rPr>
        <w:t>E. 1.1</w:t>
      </w:r>
    </w:p>
    <w:p>
      <w:r>
        <w:t>Der Entscheid des SEM vom 25. September 2015 ist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 3.1 Das Wiedererwägungsgesuch ist der formlose Rechtsbehelf, mit welchem eine betroffene Person die erstinstanzliche Verwaltungsbehörde darum ersucht, auf eine formell rechtskräftige Verfügung zurückzukommen und diese abzuändern oder aufzuheben (Häfelin/Müller/Uhlmann, Allgemeines Verwaltungsrecht, 7. Auflage, 2016, Rz. 1272 ff). Im Verwaltungsverfahren des Bundes ist die Wiedererwägung formell rechtskräftiger Verfügungen nicht ausdrücklich geregelt. Die Rechtsprechung leitet dieses Institut direkt aus Art. 29 BV sowie aus Art. 66 VwVG ab, welcher die Möglichkeit der Revision von Beschwerdeentscheiden vorsieht. 3.2 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bestand (Art. 66 Abs. 3 VwVG per analogiam; vgl. BGE 136 II 177 E. 2.1 S. 181 m.H). 4.1 Der Beschwerdeführer beantragt in diesem Verfahren (lediglich) die Löschung der Ausschreibung seines Einreiseverbots im SIS und bezieht sich hierbei insbesondere auf familiäre bzw. berufliche Gründe sowie den Zeitablauf seit Begehung der von ihm begangenen letzten Straftaten. 4.2 In ihrer Verfügung vom 25. September 2015 verweist die Vorinstanz auf das öffentliche Interesse an der Fernhaltung des Beschwerdeführers aus der Schweiz und dem Schengenraum, welches angesichts der in Frage stehenden Rechtsgüter nach wie vor überwiege. Gemäss SEM wurden keine qualifizierten Tatsachen und Umstände vorgebracht, welche eine Aufhebung des Einreiseverbots zum heutigen Zeitpunkt rechtfertigen würden. Ein Verzicht auf eine Ausschreibung im SIS käme damit nur in Betracht, wenn der Beschwerdeführer im Besitze eines Aufenthaltstitels eines Schengen-Mitgliedstaates sei, was nicht der Fall sei. 4.3 Im vorliegenden Verfahren verneint die Vorinstanz die Existenz von qualifizierten Wiedererwägungsgründen, welche eine Aufhebung des (nationalen) Einreiseverbots rechtfertigen würden. Das SEM verkennt hingegen, dass daraus nicht eo ipso abgeleitet werden kann, dies gelte auch in Bezug auf die SIS-Ausschreibung, zumal - wenn auch nur in seltenen Ausnahmefällen - durchaus Konstellationen denkbar sind, in denen wiedererwägungsweise geltend gemachte Tatsachen und Umstände zwar die Aufhebung eines nationalen Einreiseverbots nicht rechtfertigen würden, die Löschung der Ausschreibung im SIS hingegen schon. Nachfolgend gilt es somit zu prüfen, ob die Vorbringen des Beschwerdeführers in Bezug auf sie SIS-Ausschreibung als erheblich einzustufen sind (vgl. E. 3.2).</w:t>
      </w:r>
    </w:p>
    <w:p>
      <w:r>
        <w:rPr>
          <w:b/>
        </w:rPr>
        <w:t>E. 5.1</w:t>
      </w:r>
    </w:p>
    <w:p>
      <w:r>
        <w:t>Die Ausschreibung des Beschwerdeführers im SIS zur Einreise- und Aufenthaltsverweigerung erfolgte gestützt auf das Einreiseverbot (vgl. Verfügung des SEM vom 15. Dezember 2011). Die Ausschreibung hatte zur Folge, dass die Wirkungen der Massnahme auf alle Schengen-Staaten ausgedehnt wurde (vgl. Art. 5 Abs. 1 Bst. d sowie Art. 13 Abs. 1 der Verordnung [EU] Nr. 2016/399 des Europäischen Parlaments und des Rates vom 9. März 2016 über einen Gemeinschaftskodex für das Überschreiten der Grenzen durch Personen [Schengener Grenzkodex, SGK, Abl. L 77 vom 23. März 2016, S. 1-52].</w:t>
      </w:r>
    </w:p>
    <w:p>
      <w:r>
        <w:rPr>
          <w:b/>
        </w:rPr>
        <w:t>E. 5.2</w:t>
      </w:r>
    </w:p>
    <w:p>
      <w:r>
        <w:t>Personen, die weder Bürger der EU noch Angehörige eines Staates sind, mit dem die EU ein Freizügigkeitsabkommen abgeschlossen hat (Drittstaatsangehörige), können im SIS zur Einreise- und Aufent­haltsver­weigerung ausgeschrieben werden, wenn die "Angemessenheit, Relevanz und Bedeutung des Falles" eine solche Massnahme rechtfertigen (Art. 21 der Verordnung [EG] Nr. 1987/2006 des Europäischen Parlaments und des Rates vom 20. Dezember 2006 über die Einrichtung, den Betrieb und die Nutzung des Schengener Informationssystems der zweiten Generation [SIS-II-Verordnung, Abl. L 381 vom 28. Dezember 2006, S. 4]).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5.3</w:t>
      </w:r>
    </w:p>
    <w:p>
      <w:r>
        <w:t>Als Drittstaatsangehöriger kann der Beschwerdeführer grundsätzlich zur Einreise- bzw. Aufenthaltsverweigerung im SIS ausgeschrieben werden. Im Verlaufe seiner Anwesenheit in der Schweiz geriet er seit dem Jahr 1996 wiederholt mit dem Gesetz in Konflikt, wobei er sich weder von den daraufhin ergangenen Sanktionen noch seiner damals bestehenden familiären Situation davon abhalten liess, weiterhin zu delinquieren. Zuletzt wurde er mit Urteil des Obergerichts des Kantons Solothurn vom 7. September 2009 wegen Menschenhandels, mehrfacher Vergewaltigung, mehrfacher Förderung der Prostitution, mehrfachen Erleichterns des rechtswidrigen Aufenthalts mit Bereicherungsabsicht und der mehrfachen Beschäftigung von Ausländern ohne Bewilligung zu einer Freiheitsstrafe von 4 Jahren und 6 Monaten, einer Geldstrafe von 30 Tagessätzen und einer Busse von Fr. 400.- verurteilt. Der Beschwerdeführer delinquierte damit in einem äusserst sensiblen Bereich, richteten sich seine Taten doch gegen besonders hochwertige Rechtsgüter. Auch zeigte er eine erschreckende Geringschätzung des (sexuellen) Selbstbestimmungsrechts seiner Opfer und missbrauchte Frauen, um einen möglichst hohen Profit zu erzielen; weiter neigte er zu Gewalttätigkeit (Urteil des BGer 2C_362/2011 vom 11. November 2011 E. 3.1 [SEM act. 7 S. 100]). Die von ihm begangenen Straftaten erfüllen im Übrigen den von Art. 24 Ziff. 2 Bst. a SIS-II-Verordnung verlangten Schweregrad ohne Weiteres.</w:t>
      </w:r>
    </w:p>
    <w:p>
      <w:r>
        <w:rPr>
          <w:b/>
        </w:rPr>
        <w:t>E. 6.1</w:t>
      </w:r>
    </w:p>
    <w:p>
      <w:r>
        <w:t>Der Beschwerdeführer bringt vor, dass er sich radikal geändert habe. Er respektiere die behördlichen Anordnungen. Er habe seit dem Jahr 2006 keine Straftaten mehr begangen. In diesem Zusammenhang weist er darauf hin, dass auf das Datum der Deliktbegehung abzustellen sei und nicht auf den Zeitpunkt der Verurteilung. In diesem Sinne seien bald 10 Jahre vergangen, in denen er nicht mehr delinquierte. Seit dem 15. Mai 2014 arbeite er und habe weder in Serbien noch in einem anderen europäischen Land polizeiliche oder gerichtliche Vorkommnisse zu verzeichnen. Einem psychologischen Bericht vom 6. März 2014 sei zu entnehmen, dass er in einem stabilen psychischen Zustand sei, mit Ausnahme seines Leidens bezüglich der Trennung von seiner Familie (Beschwerde vom 29. Oktober 2015).</w:t>
      </w:r>
    </w:p>
    <w:p>
      <w:r>
        <w:rPr>
          <w:b/>
        </w:rPr>
        <w:t>E. 6.2</w:t>
      </w:r>
    </w:p>
    <w:p>
      <w:r>
        <w:t>Entgegen den obgenannten Ausführungen ist im Hinblick auf das klaglose Verhalten von Bedeutung, wie lange sich eine straffällige Person nach Entlassung aus dem Strafvollzug in Freiheit bewährt (vgl. BVGE 2014/20 E. 5.4 m.H.). Der Beschwerdeführer wurde am 26. November 2010 bedingt aus dem Strafvollzug entlassen und die Probezeit dauerte bis zum 20. Mai 2012 an (vgl. Auszug aus dem Schweizerischen Strafregister vom 14. Dezember 2011 [SEM act. 7 S. 92). Der seither vergangene Zeitraum erweist sich damit - verglichen mit dem bisherigen schweren und langjährigen delinquenten Verhalten des Beschwerdeführers (welches ab dem Jahr 1996 einsetze) - als zu kurz, als daraus bereits abgeleitet werden kann, er habe sich tatsächlich von seinem früheren Leben distanziert (BGE 130 II 493 E. 5 S. 504). Damit sind auch die mit schriftlicher Eingabe vom 11. Juli 2016 eingereichten Dokumente unbehelflich (vgl. Bescheinigung des Hauptgerichts in B._______ vom 28. Juni 2016, Bestätigung des Ministeriums für innere Angelegenheiten vom 28. Juni 2016 und Bestätigung des Gerichts für Ordnungswidrigkeiten in B._______ vom 28. Juni 2016 [Beilagen des BVGer act. 14]). Vollständigkeitshalber wird darauf hingewiesen, dass es ohnehin nicht den Tatsachen entspricht, der Beschwerdeführer habe sich seither vollumfänglich klaglos verhalten. So ist einem Strafbefehl der Staatsanwaltschaft Basel-Stadt vom 21. Juni 2012 zu entnehmen, dass er wegen rechtswidrigem Aufenthalt zu einer Geldstrafe von 45 Tagessätzen und einer Busse von Fr. 270.00 verurteilt wurde (vgl. SEM act. 23). Von einer grundlegenden Wandlung kann somit (noch) nicht ausgegangen werden. Der Beschwerdeführer scheint immer noch nicht gewillt, sich ausnahmslos an die Rechtsordnung zu halten.</w:t>
      </w:r>
    </w:p>
    <w:p>
      <w:r>
        <w:rPr>
          <w:b/>
        </w:rPr>
        <w:t>E. 6.3</w:t>
      </w:r>
    </w:p>
    <w:p>
      <w:r>
        <w:t>Ferner wird beschwerdeweise auf die sehr engen familiären Bindungen hingewiesen. Bezüglich der sich aus der Trennung der Familie ergebenden Probleme reichte er zwei Berichte zu den Akten (Berichte des Zentrums für soziale Arbeit vom 6. März 2013 sowie der Fachstelle für Beziehungsfragen des Kantons Solothurns [SEM act. 51 S. 269 - 275]). Weiter wurden schriftliche Stellungnahmen des Beschwerdeführers und seiner Ehefrau eingereicht (vgl. Beilagen zu BVGer act. 5).</w:t>
      </w:r>
    </w:p>
    <w:p>
      <w:r>
        <w:rPr>
          <w:b/>
        </w:rPr>
        <w:t>E. 6.3.1</w:t>
      </w:r>
    </w:p>
    <w:p>
      <w:r>
        <w:t>Die obgenannten Ausführungen lassen hingegen nicht darauf schliessen, dass durch die familiäre Situation - selbst in Berücksichtigung der eingereichten Berichte und Stellungnahmen - eine neue Sachlage entstanden wäre, die nicht bereits im Rechtsmittelverfahren berücksichtigt worden wäre. Der Beschwerdeführer ist zudem darauf hinzuweisen, dass die Beschränkung des Familienlebens aus dem Umstand resultiert, dass er als Folge seiner Straffälligkeit sein Aufenthaltsrecht in der Schweiz verloren hat. Wie bereits mit Urteil des BVGer C-331/2012 vom 13. November 2012 ausgeführt, kann der Kontakt zwischen dem Be­schwerdeführer und seiner Familie bis zu einem gewissen Grad mit kontrollierten befristeten Be­suchsaufenthalten in der Schweiz aufrechterhalten werden. Dies gilt auch in Bezug auf den Kontakt zu den in der Schweiz lebenden Geschwistern und Eltern, die ohnehin vom Anwendungsbereich von Art. 8 EMRK nicht erfasst werden. Im Übrigen wäre den in C.________ lebenden Eltern des Beschwerdeführers, welche aufgrund ihres gesundheitlichen Zustands angeblich nicht mehr reisefähig sind (vgl. Beschwerde vom 29. Oktober 2015 S. 9 und SEM act. 42), auch mit einem Kurzaufenthalt des Beschwerdeführers in Deutschland nicht gedient. Wie der Beschwerdeführer selbst ausführt, wurden ihm bereits einige Gesuche um Suspension des Einreiseverbots zwecks Besuchs der Familie bewilligt. Zudem kann ihn seine Familie in Serbien besuchen und den Kontakt auch mittels Telefon und modernen Kommunikationsmitteln aufrechterhalten. Dem zu berücksichtigenden Wohl der Kinder (Art. 3, Art. 9 und Art. 18 des Übereinkommens vom 20. November 1989 über die Rechte des Kindes [KRK; SR 0.107]) wird dadurch Genüge getan (vgl. Urteil des BVGer C-1597/2014 vom 25. Februar 2015 E. 6.2.3).</w:t>
      </w:r>
    </w:p>
    <w:p>
      <w:r>
        <w:rPr>
          <w:b/>
        </w:rPr>
        <w:t>E. 6.3.2</w:t>
      </w:r>
    </w:p>
    <w:p>
      <w:r>
        <w:t>Sofern der Beschwerdeführer anfügt, Reisen nach Serbien seien für eine Mutter mit vier Kindern schwierig durchzuführen, dies aufgrund der Distanz, der schulischen bzw. beruflichen Verpflichtungen der Mutter und der Kinder sowie der Kosten, so ist diesbezüglich auszuführen, dass es den Kindern (geb. 1999, 2000, 2004, und 2011) durchaus zuzumuten ist, die Reise nach Serbien in ihren jeweiligen (Schul-)ferien anzutreten. Es gilt zu bedenken, dass auch allfällige Reisen und Kurzaufenthalte des Beschwerdeführers sowie dessen Familie nach Deutschland Kosten generieren würden.</w:t>
      </w:r>
    </w:p>
    <w:p>
      <w:r>
        <w:rPr>
          <w:b/>
        </w:rPr>
        <w:t>E. 6.3.3</w:t>
      </w:r>
    </w:p>
    <w:p>
      <w:r>
        <w:t>Festzuhalten ist auch, dass schon im Verfahren des Beschwerdeführers betreffend Widerruf der Niederlassungsbewilligung geprüft und festgehalten wurde, es sei der Ehefrau des Beschwerdeführers und ihren Kindern zumutbar, ihm ins Ausland zu folgen (vgl. Urteil des BGer 2C_362/2011 vom 11. November 2011 E. 3.2). Die Familie verzichtete hingegen damals auf diesen Schritt, dies im Bewusstsein, dass es damit zu einer langjährigen Trennung des Beschwerdeführers von seiner Familie kommen wird.</w:t>
      </w:r>
    </w:p>
    <w:p>
      <w:r>
        <w:rPr>
          <w:b/>
        </w:rPr>
        <w:t>E. 6.4</w:t>
      </w:r>
    </w:p>
    <w:p>
      <w:r>
        <w:t>In seiner Replik führt der Beschwerdeführer ferner aus, das Unternehmen "X._______" sei sehr interessiert an ihm und wolle ihm eine Arbeitsstelle offerieren. Diese Tätigkeit sehe hingegen auch Reisen nach Deutschland vor und bedinge, dass er in den Schengenraum einreisen könne. Diesbezüglich wurde eine Bestätigung vom 27. Januar 2016 eingereicht (vgl. Beilage zur Replik vom 16. Februar 2016). Es ist jedoch nicht davon auszugehen, der Beschwerdeführer sei zwingend auf diese Arbeitsstelle angewiesen, ist es ihm doch möglich, auch in einem anderen Tätigkeitsfeld eine Arbeit anzunehmen. Immerhin wurde noch beschwerdeweise geltend gemacht, er habe eine unbefristete Arbeitsstelle. Den vorinstanzlichen Akten ist in diesem Zusammenhang eine Bestätigung vom 7. November 2014 beigelegt; dieser ist zu entnehmen, dass der Beschwerdeführer als Manager im Gastgewerbe in einem unbefristetem Arbeitsverhältnis steht (vgl. SEM-act. 51 S. 305). 7.1 Mit diesen Ausführungen ist nicht davon auszugehen, der Sachverhalt habe sich dahingehend geändert, dass nun ein anderes Ergebnis ernstlich in Betracht fiele. Die geltend gemachten Tatsachen und Beweismittel könnten demnach nicht als wesentlich bzw. erheblich in dem Sinne erachtet werden, dass sie für die Herbeiführung eines materiell anderen Entscheides geeignet wären. Zu Recht führt dazu die Vorinstanz aus, ein Verzicht auf eine Ausschreibung im SIS käme nur dann in Betracht, wenn der Beschwerdeführer im Besitze eines Aufenthaltstitels eines Schengen-Mitgliedstaates wäre (vgl. Verfügung vom 25. September 2015). Diesbezüglich gilt es auf Art. 25 des Schengener Durchführungsübereinkommens vom 14. Juni 1985 (SDÜ, Abl. L 239 vom 22. September 2000, S. 19-62) hinzuweisen. Das darin statuierte Konsultationsverfahren regelt, wann der ausschreibende Vertragsstaat die Einreiseverweigerung gegenüber einem Drittstaatsangehörigen im SIS wieder löscht. Dies wäre dann der Fall, wenn ein anderes Schengenland dem Beschwerdeführer eine Aufenthaltserlaubnis erteilen oder zusichern würde. 7.2 Die angefochtene Verfügung erweist sich somit als rechtmässig (Art. 49 VwVG). Die Beschwerde ist daher abzuweisen.</w:t>
      </w:r>
    </w:p>
    <w:p>
      <w:r>
        <w:rPr>
          <w:b/>
        </w:rPr>
        <w:t>E. 8</w:t>
      </w:r>
    </w:p>
    <w:p>
      <w:r>
        <w:t>Entsprechend dem Ausgang des Verfahrens wird der unterliegende Beschwerdeführer kostenpflichtig (vgl.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