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F-6954/2016 vom 16. März 2018</w:t>
      </w:r>
    </w:p>
    <w:p>
      <w:r>
        <w:t>Bundesverwaltungsgericht, 2018-03-16, FR</w:t>
      </w:r>
    </w:p>
    <w:p>
      <w:r>
        <w:rPr>
          <w:b/>
        </w:rPr>
        <w:t xml:space="preserve">Quelle: </w:t>
      </w:r>
      <w:r>
        <w:t>https://mcp.opencaselaw.ch/entscheid/bvger_F-6954_2016</w:t>
      </w:r>
    </w:p>
    <w:p>
      <w:r>
        <w:t>FR: TAF F-6954/2016 du 16 mars 2018</w:t>
      </w:r>
    </w:p>
    <w:p>
      <w:r>
        <w:t>IT: TAF F-6954/2016 del 16 marzo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en matière d'interdiction d'entrée en Suisse rendues par le SEM (qui constitue une unité de l'administration fédérale au sens de l'art. 33 let. d LTAF) sont susceptibles de recours au Tribunal, qui statue comme autorité précédant le Tribunal fédéral (art. 1 al. 2 LTAF en relation avec l'arrêt du TF 2C_135/2017 du 21 février 2017 consid. 5).</w:t>
      </w:r>
    </w:p>
    <w:p>
      <w:r>
        <w:rPr>
          <w:b/>
        </w:rPr>
        <w:t>E. 1.2</w:t>
      </w:r>
    </w:p>
    <w:p>
      <w:r>
        <w:t>A moins que la LTAF n'en dispose autrement, la procédure devant le Tribunal est régie par la PA (art. 37 LTAF).</w:t>
      </w:r>
    </w:p>
    <w:p>
      <w:r>
        <w:rPr>
          <w:b/>
        </w:rPr>
        <w:t>E. 1.3</w:t>
      </w:r>
    </w:p>
    <w:p>
      <w:r>
        <w:t>X._______ a qualité pour recourir (art. 48 al. 1 PA). Présenté dans la forme et les délais prescrits par la loi, le recours est recevable (art. 50 et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(ATAF 2014/24 consid. 2.2, 2009/57 consid. 1.2; voir également arrêt du TF 1C_214/2015 du 6 novembre 2015 consid. 2.2.2). Aussi peut-elle admettre ou rejeter le pourvoi pour d'autres motifs que ceux invoqués. Dans son arrêt, le Tribunal prend en considération l'état de fait existant au moment où il statue (ATAF 2014/1 consid. 2). 3.Le litige porte sur la décision du 14 octobre 2016 par laquelle le SEM a prononcé une interdiction d'entrée en application de l'art. 67 LEtr, valable de suite au 13 octobre 2028. Le Tribunal procédera dès lors à un rappel des règles régissant le prononcé d'une interdiction d'entrée contre un ressortissant européen avant d'examiner si la décision querellée est conforme au droit.</w:t>
      </w:r>
    </w:p>
    <w:p>
      <w:r>
        <w:rPr>
          <w:b/>
        </w:rPr>
        <w:t>E. 4.1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8 mars 2002 concernant la loi sur les étrangers, FF 2002 3469, 3564). En vertu de l'art. 80 al. 1 de l'ordonnance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4.2</w:t>
      </w:r>
    </w:p>
    <w:p>
      <w:r>
        <w:t>L'interdiction d'entrée permet d'empêcher l'entrée ou le retour d'un étranger dont le séjour en Suisse est indésirable. Cette mesure (administrative) de contrôle ne constitue donc pas une peine sanctionnant un comportement déterminé, mais vise plutôt à prévenir une nouvelle atteinte à la sécurité et à l'ordre publics en empêchant un étranger, une fois qu'il aura quitté le territoire helvétique, de revenir en Suisse à l'insu des autorités et d'y commettre à nouveau des infractions (FF 2002 3469, 3568 ;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arrêt du TAF C-6383/2014 du 6 juin 2016 consid. 5.2). 5.5.1 Compte tenu du fait que le recourant bénéficie de la nationalité portugaise et partant, est citoyen de l'un des Etats membres de l'Union européenne (UE), il importe de vérifier si la mesure d'éloignement prononcée à son encontre est conforme à l'ALCP (arrêt du TF 2C_1045/2011 du 18 avril 2012 consid. 2.1 ; arrêt du TAF F-2522/2015 du 2 juin 2017 consid. 5). 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 Sous l'angle de l'élément d'extranéité nécessaire à l'application de cet accord aux ressortissants des États parties, il convient de souligner que le fait que le recourant soit né en Suisse ne l'empêche pas de se prévaloir de l'ALCP (en ce sens: arrêt de la Cour de Justice des Communautés européennes [devenue la Cour de Justice de l'Union européenne, ci-après : la Cour de Justice] du 19 octobre 2004 C-200/02 Zhu et Chen, Rec. 2004 I-09925, auquel s'est rallié le Tribunal fédéral [ATF 135 II 265 consid. 3.3 et 142 II 35 consid. 5.1], spécialement point 19 : « (...) la situation du ressortissant d'un État membre qui est né dans l'État membre d'accueil et qui n'a pas fait usage du droit à la libre circulation ne saurait, de ce seul fait, être assimilée à une situation purement interne privant ledit ressortissant du bénéfice dans l'État membre d'accueil des dispositions du droit communautaire en matière de libre circulation et de séjour des personnes »). 5.2 L'art. 1 par. 1 Annexe I ALCP dispose notamment que les parties contractantes admettent sur leur territoire les ressortissants des autres parties contractantes sur simple présentation d'une carte d'identité ou d'un passeport en cours de validité. L'ALCP ne réglemente pas en tant que telle l'interdiction d'entrée, si bien que l'art. 67 LEtr est applicable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 en particulier le droit d'entrée prévu à l'art. 1 par. 1 Annexe I ALCP, l'art. 67 LEtr doit être interprété en tenant compte des exigences spécifiques de cet accord (ATF 139 II 121 consid. 5.1 ; arrêt du TAF C-5157/2013 du 27 janvier 2014 consid. 4.4). 5.3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(ATF 139 II 121 consid. 5.3). Le cadre et les modalités de cette disposition sont déterminés par trois directives, dont la plus importante est la directive 64/221/CEE, ainsi que par la jurisprudence y relative de la Cour de Justice rendue avant la signature de l'accord le 21 juin 1999 (art. 5 par. 2 Annexe I ALCP en relation avec l'art. 16 al. 2 ALCP ; au sujet de la prise en considération des arrêts de la Cour de Justice postérieurs à cette date, ATF 139 II 121 consid. 5.3, 136 II 5 consid. 3.4 et 130 II 1 consid. 3.6). 5.4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(ATF 139 II 121 consid. 5.3 et 136 II 5 consid. 4.2). 5.5 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Selon les circonstances, la jurisprudence de la Cour de Justice admet néanmoins que le seul fait du comportement passé de la personne concernée puisse réunir les conditions d'une pareille menace actuelle (arrêt de la Cour de Justice du 27 octobre 1977 C-30/77 Bouchereau, Rec. 1977 p. 1999, points 33-35 ; ATAF 2016/33 consid. 4.3 et les nombreuses références citées). C'est donc le risque concret de récidive - respectivement de commettre de nouvelles infractions - qui est déterminant (ATF 136 II 5 consid. 4.2).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(ATF 139 II 121 consid. 5.3, 139 I 145 consid. 2.5, 136 II 5 consid. 4.2, 134 II 25 consid. 4.3.2 et 130 Il 493 consid. 3.3). Pour évaluer la menace que représente un étranger condamné pénalement, le Tribunal fédéral se montre particulièrement rigoureux - suivant en cela la pratique de la Cour de Justice - en présence d'infractions à la législation fédérale sur les stupéfiants, d'actes de violence criminelle et d'infractions contre l'intégrité sexuelle (ATF 139 II 121 consid. 5.3; voir aussi arrêt du TF 2C_121/2014 du 17 juillet 2014 consid. 3.2), étant précisé que la commission d'infractions qui sont en étroite relation avec la toxicomanie du délinquant peuvent, selon les circonstances, atténuer cette position de principe (ATF 139 II 121 consid. 5.3 ; sur l'ensemble des éléments qui précèdent, voir également ATAF 2016/33 consid. 4.3). 5.6 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 6.Selon l'art. 67 al. 3 1ère phrase LEtr, l'interdiction d'entrée est prononcée pour une durée maximale de cinq ans. On relèvera dans ce contexte que le Tribunal fédéral a apporté une distinction, dans l'application de cette disposition, selon que la personne concernée est ou non au bénéfice de l'ALCP (ATF 139 II 121 consid. 6.1). 6.1 Aux yeux de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 ; ATF 139 II 121 consid. 6.1). 6.2 Toutefois, selon l'art. 67 al. 3 seconde phrase LEtr, l'interdiction d'entrée peut être prononcée pour une durée plus longue lorsque la personne concernée constitue une menace grave pour la sécurité et l'ordre publics, qui a été définie comme le palier II par le Tribunal fédéral (ATF 139 II 121 consid. 6.2). Cependant, sa durée sera en principe limitée à 15 ans au maximum, ou à 20 ans en cas de récidive (ATAF 2014/20 consid. 7). Il sied donc de déterminer quelles sont les exigences pour qu'une autorité puisse prononcer l'interdiction d'entrée pour une durée supérieure à cinq ans, c'est-à-dire quels sont les critères permettant de retenir l'existence d'une menace grave pour la sécurité et l'ordre publics, au sens de l'art. 67 al. 3 seconde phrase LEtr. Sous peine de vider de sens la distinction entre mise en danger ou atteinte (palier I), respectivement menace d'une certaine gravité (palier I bis) et menace grave (palier II), il y a lieu de retenir que la menace grave doit s'interpréter comme requérant un degré de gravité qui soit non seulement supérieur à la simple atteinte ou menace à la sécurité et à l'ordre publics mais aussi à la menace d'une certaine gravité nécessaire pour éloigner un ressortissant d'un Etat partie à l'ALCP.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(ATF 139 II 121 consid. 6.2 in fine ; arrêt du TAFC-3643/2015 du 29 avril 2016 consid. 6.2). Le terme de menace grave de l'art. 67 al. 3 LEtr présuppose l'existence d'une menace caractérisée. Ce degré de gravité particulier, dont il est prévu que l'application demeurera exceptionnelle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8043, 8058), doit s'examiner au cas par cas, en tenant compte de tous les éléments pertinents au dossier.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en tenant compte de l'éventuel accroissement de leur gravité, ou encore de l'absence de pronostic favorable. Les infractions commises doivent donc avoir le potentiel - isolément ou en raison de leur répétition - de générer une menace actuelle et grave pour la sécurité et l'ordre publics (ATAF 2016/33 consid. 8.2, 2014/20 consid. 5.2 et 2013/4 consid. 7.2.4). 7.7.1 En l'espèce, il s'agit pour le Tribunal d'examiner si l'interdiction d'entrée querellée respecte les conditions légales de l'art. 67 al. 2 let. a LEtr en lien avec l'art. 5 de l'Annexe I ALCP. 7.2 Dans son pourvoi, le recourant a fait valoir que l'acte qui avait entraîné sa condamnation la plus lourde était isolé et avait été commis en groupe, alors qu'il était âgé de dix-neuf ans. Avant ce dramatique évènement, l'intéressé avait certes eu maille à partir avec la justice des mineurs à deux reprises, mais son parcours révélait bien plus le profil d'un adolescent un peu rebelle que celui d'un délinquant. L'intéressé, étranger de deuxième génération né en Suisse, avait effectué avec succès l'ensemble de sa scolarité sur territoire helvétique avant d'obtenir un CFC d'électricien. Au terme de son apprentissage, il avait décroché un emploi fixe auprès d'une entreprise d'électricité. De plus, toute sa famille demeurait en Suisse - en particulier sa mère, avec laquelle il avait toujours vécu. La décision prise à son endroit le 28 juin 2016 par l'Office des sanctions et des mesures d'accompagnement du canton du Valais soulignait le faible risque de récidive violente qu'il présentait. Au vu de ces éléments, il convenait de retenir que le recourant ne représentait pas une menace caractérisée pour la sécurité et l'ordre publics. Subsidiairement, s'il fallait admettre l'existence d'une telle menace, celle-ci n'atteignait pas le niveau de gravité nécessaire pour justifier une mesure d'éloignement d'une durée supérieure à six ans. 7.3 Le Tribunal retiendra néanmoins en défaveur du recourant que, durant son séjour en Suisse, il s'est rendu coupable de multiples violations de prescriptions légales, tant durant sa minorité qu'à l'âge de jeune adulte (cf. supra let. A.c, A.d et A.e). Dans leur arrêt du 2 décembre 2015, par lequel la Cour pénale II du Tribunal cantonal du Valais a confirmé la peine privative de liberté de cinq ans prononcée à l'encontre de l'intéressé, les juges cantonaux ont souligné que lui-même et trois comparses avaient asséné de nombreux coups de pied et de poing à la tête et sur le corps de la victime, jusqu'à ce que mort s'ensuive, afin de lui dérober de la marijuana. Bien qu'il n'ait pas personnellement initié l'agression ayant entraîné la mort de la victime, le recourant y avait participé activement en qualité de coauteur. Il avait ainsi frappé la victime alors qu'elle était à terre, puis accroupie, et n'était pas intervenu pour faire cesser l'acharnement de ses comparses à la rouer de coups. Envisageant le risque du décès de la victime et conscient que celle-ci n'était pas en mesure de réagir pour éviter les coups portés, il ne s'était cependant pas abstenu de la frapper. Il ressort de l'expertise psychiatrique dont le recourant a fait l'objet qu'il ne présentait, au moment des faits, aucun trouble psychique et qu'il était en mesure d'apprécier le caractère illicite de ses actes. Le risque de réitération d'actes délictueux paraissait assez faible et serait probablement lié à l'environnement social dans lequel il évoluerait. Les juges cantonaux ont cependant souligné que le recourant avait persisté à minimiser la gravité de sa faute durant l'instruction et pendant les débats, mais qu'il avait donné entière satisfaction durant sa détention. Ils ont relevé que l'intéressé avait déjà - alors qu'il était mineur - suivi des amis pour commettre des infractions et que, nonobstant la condamnation prononcée contre lui le 4 novembre 2008, il avait à nouveau cédé à l'effet de groupe pour commettre un meurtre, ce qui trahissait un défaut de caractère. 7.4 L'on n'est donc pas en présence d'un acte isolé, mais bien d'une propension certaine à la délinquance couplée à une incapacité à s'amender et à résister aux phénomènes de groupe. De toute évidence, les peines infligées à l'intéressé alors qu'il était mineur n'ont pas eu l'effet dissuasif escompté, puisqu'il a persisté dans la violation de l'ordre juridique en commettant l'irréparable à l'âge de dix-neuf ans. Ces éléments ne permettent donc nullement de poser un pronostic favorable pour l'avenir quant à la capacité du recourant à respecter l'ordre juridique (arrêt du TAFF-2522/2015 consid. 7.3). Aux dires des experts, l'intéressé présente un faible risque de récidive. Celui-ci ne saurait toutefois être toléré eu égard à la gravité des actes perpétrés, qui relèvent de ceux envers lesquels le Tribunal fédéral se montre particulièrement rigoureux (infractions à la législation fédérale sur les stupéfiants, actes de violence criminelle) compte tenu de l'importance des biens juridiques menacés. Il n'est donc pas question de relativiser la gravité des agissements de l'intéressé au point de ne pas admettre un risque de récidive concret (arrêt du TF 2C_802/2015 du 11 janvier 2016 consid. 6.3), cela d'autant moins que le recourant a longtemps minimisé la gravité de ses agissements (voir le courrier du 28 mars 2016, adressé par l'intéressé au Service cantonal, dans lequel il affirme : «Je n'ai jamais frappé personne, on m'a accusé pour que je tombe aussi»). Il ressort d'ailleurs du plan d'exécution de la sanction pénale ou à titre anticipé (PES) du 21 juillet 2016, élaboré le 18 juillet 2016, que l'intéressé reconnaît les faits ayant entraîné sa condamnation, tout en niant avoir porté des coups à la victime. 7.5 Certes, ledit plan d'exécution souligne que tant l'attitude générale de l'intéressé que ses relations avec le personnel de l'établissement pénitentiaire de C._______ étaient satisfaisantes. En outre, sa libération conditionnelle a été prononcée au 22 janvier 2017. Le Tribunal relève cependant que durant l'exécution d'une peine, il est de toute manière attendu d'un délinquant qu'il se comporte de manière adéquate (ATF 139 II 121 consid. 5.5.2). De plus, en raison du contrôle relativement étroit que les autorités pénales exercent au cours de la période d'exécution de la peine, on ne saurait tirer argument du bon comportement de l'intéressé durant sa détention pour déterminer son attitude future, une fois en liberté; cela vaut également dans une certaine mesure pour la période de libération conditionnelle, dont l'octroi - qui remonte à une année en l'espèce - n'est pas décisif pour apprécier la dangerosité pour l'ordre public de celui qui en bénéficie (dans le même sens : arrêt du TF 2C_1152/2012 du 7 décembre 2012 consid. 6.1). En outre, la préoccupation de l'ordre et de la sécurité publics est prépondérante dans la pesée des intérêts effectuée par l'autorité de police des étrangers, de sorte que son appréciation peut s'avérer plus rigoureuse pour l'individu concerné que celle de l'autorité pénale (ATF 130 II 493 consid. 4.2). 7.6 L'ensemble de ces circonstances conduisent le Tribunal à considérer que le risque de récidive du recourant est encore existant et qu'il représente toujours une menace grave, réelle et actuelle pour l'ordre et la sécurité publics. Le Tribunal est amené à conclure que le SEM a tenu compte de manière appropriée des principes de l'ALCP et de la jurisprudence de la Cour de Justice en la matière. Partant, la décision attaquée respecte les conditions légales de l'art. 67 al. 2 let. a LEtr en lien avec l'art. 5 de l'Annexe I ALCP et satisfait ainsi aux conditions habilitant l'autorité à déroger au principe de libre circulation des personnes consacré par l'ALCP. 8.Il convient dès lors d'examiner si le prononcé à l'encontre du recourant d'une interdiction d'entrée d'une durée supérieure à cinq ans était justifié à la lumière de l'art. 67 al. 3 seconde phrase LEtr et des principes dégagés par la jurisprudence. Ainsi qu'il ressort des pièces du dossier et comme cela a déjà été mis en exergue, l'intéressé a notamment été condamné pour meurtre par dol éventuel et infractions à la législation fédérale sur les stupéfiants, et il sied de relever que la violence de son comportement a augmenté au fil des années. De plus, l'intéressé ne semble pas avoir pris pleinement conscience de la gravité de ses actes. Ne souffrant d'aucun trouble psychique, le recourant apparaît comme un jeune homme extrêmement influençable lorsqu'il s'agit de participer à la commission d'actes hautement répréhensibles. Par ses agissements délictueux perpétrés à plusieurs reprises, le recourant a démontré qu'il ne voulait pas ou n'était pas capable de s'adapter à l'ordre établi en Suisse. Dans ces conditions, il convient d'admettre que l'intéressé, compte tenu de l'activité délictuelle déployée en Suisse, de l'extrême gravité des infractions commises, de l'importance des biens juridiques menacés et de son incapacité à se conformer à l'ordre établi, constitue une menace caractérisée pour la sécurité et l'ordre publics, de sorte que la limite de la durée maximale prévue à l'art. 67 al. 3 seconde phrase LEtr peut être franchie. Le prononcé à son endroit d'une mesure d'éloignement d'une durée supérieure à cinq ans est dès lors justifié.</w:t>
      </w:r>
    </w:p>
    <w:p>
      <w:r>
        <w:rPr>
          <w:b/>
        </w:rPr>
        <w:t>E. 9.1</w:t>
      </w:r>
    </w:p>
    <w:p>
      <w:r>
        <w:t>A ce stade, il convient encore d'examiner si cette mesure d'éloignement, dont la durée a été fixée par l'autorité de première instance à 12 ans, satisfait aux principes de la proportionnalité et de l'égalité de traitement.</w:t>
      </w:r>
    </w:p>
    <w:p>
      <w:r>
        <w:rPr>
          <w:b/>
        </w:rPr>
        <w:t>E. 9.2</w:t>
      </w:r>
    </w:p>
    <w:p>
      <w:r>
        <w:t>A cet égard, il importe tout d'abord de rappeler que, selon les préci-sions apportées par la jurisprudence sur la durée de validité des interdictions d'entrée motivées par l'existence d'une menace grave pour la sécurité et l'ordre publics suisses (art. 67 al. 3 LEtr), cette durée sera fixée pour une période dépassant 5 ans et pouvant s'étendre au maximum à 15 ans, voire à 20 ans en cas de récidive (ATAF 2014/20 consid. 7).</w:t>
      </w:r>
    </w:p>
    <w:p>
      <w:r>
        <w:rPr>
          <w:b/>
        </w:rPr>
        <w:t>E. 9.3</w:t>
      </w:r>
    </w:p>
    <w:p>
      <w:r>
        <w:t>Toute mesure d'éloignement doit respecter le principe de la propor-tionnalité, qui s'impose tant en droit interne (art. 5 al. 2 Cst. et 96 LEtr) qu'au regard de la CEDH (art. 8 par. 2 CEDH) et de l'ALCP (ATF 139 II 121 consid. 6.5.1 et 130 II 176 consid. 3.4.2).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135 I 176 consid. 8.1 et 133 I 110 consid. 7.1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et 135 II 377 consid. 4.3). L'examen sous l'angle de l'art. 8 par. 2 CEDH se confond avec celui imposé par l'art. 96 LEtr (arrêts du TF 2C_53/2015 du 31 mars 2015 consid. 5.3 et 2C_139/2014 du 4 juillet 2014 consid. 5).</w:t>
      </w:r>
    </w:p>
    <w:p>
      <w:r>
        <w:rPr>
          <w:b/>
        </w:rPr>
        <w:t>E. 9.4</w:t>
      </w:r>
    </w:p>
    <w:p>
      <w:r>
        <w:t>En l'occurrence, concernant les règles de l'aptitude et de la nécessité, il est indéniable, en l'absence d'un pronostic actuellement favorable quant au risque de réitération des infractions commises par le recourant, que son éloignement du territoire suisse est apte et nécessaire pour atteindre les buts visés, à savoir protéger l'ordre et la sécurité publics (arrêt du TAFC-3643/2015 consid. 8.2.1).</w:t>
      </w:r>
    </w:p>
    <w:p>
      <w:r>
        <w:rPr>
          <w:b/>
        </w:rPr>
        <w:t>E. 9.5</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9.6</w:t>
      </w:r>
    </w:p>
    <w:p>
      <w:r>
        <w:t>Quant à l'intérêt public, il est à noter que l'interdiction d'entrée prononcée à l'endroit de l'intéressé est une mesure administrative de contrôle qui tend à le tenir éloigné de la Suisse, où il a contrevenu aux prescriptions légales en commettant des infractions revêtant une gravité particulière. Il en va de l'intérêt de l'Etat à voir respecter l'ordre établi et la législation en vigueur (arrêt du TAF C-4334/2014 du 19 mai 2015 consid. 7.2). A plusieurs reprises, le recourant a enfreint des prescriptions légales, tant durant sa minorité que comme jeune adulte. Il ressort de l'arrêt du 2 décembre 2015 prononcé par la Cour pénale II du Tribunal cantonal du Valais qu'il a participé activement à l'agression qui a entraîné le décès de Y._______, tout en étant en mesure d'apprécier le caractère illicite de ses actes. Durant l'instruction et les débats, le recourant a persisté à minimiser la gravité de sa faute. Nonobstant la condamnation prononcée contre lui le 4 novembre 2008, il avait à nouveau cédé à l'effet de groupe pour commettre un meurtre. Au vu de l'extrême gravité des infractions commises, de la violence du comportement du recourant et de son incapacité à s'amender, l'intérêt public à l'éloigner durablement de Suisse est manifeste.</w:t>
      </w:r>
    </w:p>
    <w:p>
      <w:r>
        <w:rPr>
          <w:b/>
        </w:rPr>
        <w:t>E. 9.7</w:t>
      </w:r>
    </w:p>
    <w:p>
      <w:r>
        <w:t>S'agissant de l'intérêt privé du recourant à pouvoir revenir librement en Suisse, le Tribunal se concentrera sur le respect de sa vie privée et familiale au sens de l'art. 8 CEDH.</w:t>
      </w:r>
    </w:p>
    <w:p>
      <w:r>
        <w:rPr>
          <w:b/>
        </w:rPr>
        <w:t>E. 9.7.1</w:t>
      </w:r>
    </w:p>
    <w:p>
      <w:r>
        <w:t>Il sied tout d'abord de relever que l'impossibilité pour le recourant de résider durablement en Suisse ne résulte pas originairement de la mesure d'éloignement litigieuse, mais découle du fait que son autorisation d'établissement a été révoquée par décision du 22 avril 2016 par le Service cantonal. L'intéressé n'a du reste pas formé recours contre cette décision. Il s'ensuit que l'appréciation de la situation du recourant, sous l'angle de la protection de la vie familiale (art. 8 CEDH), ne vise qu'à examiner si l'interdiction d'entrée prononcée à l'endroit de l'intéressé complique de façon disproportionnée le maintien des relations familiales de ce dernier avec ses proches domiciliés en Suisse, pour autant que ceux-ci puissent être compris dans le cercle des personnes visées par la disposition précitée (arrêt du TAF C-3643/2015 consid. 7.1.1) ; il s'agit à ce propos de préciser que les relations familiales visées par l'art. 8 par. 1 CEDH sont avant tout celles qui concernent la famille dite nucléaire ("Kernfamilie"), soit celles qui existent entre époux ainsi qu'entre parents et enfants mineurs vivant en ménage commun (ATF 140 I 77 consid. 5.2, 137 I 113 consid. 6.1 et 135 I 143 consid. 1.3.2). Un rapport de dépendance particulier entre l'étranger et un proche parent (hors famille nucléaire) au bénéfice d'un droit de présence assuré en Suisse permet, exceptionnellement et à des conditions restrictives, d'invoquer l'art. 8 par. 1 CEDH, par exemple en raison d'une maladie grave ou d'un handicap physique ou mental (ATF 139 I 155 consid. 4.1 et 137 I 154 consid. 3.4.2). En outre, bien que l'interdiction d'entrée en Suisse puisse comporter une ingérence dans la vie privée et familiale garantie par l'art. 8 CEDH (arrêt du TF 2C_664/2009 du 25 février 2010 consid. 5), l'étranger doit - pour se réclamer de cette disposition - entretenir une relation étroite, effective et intacte avec une personne de sa famille disposant d'un droit de présence durable en Suisse (ATF 139 I 330 consid. 2.1 et 137 I 284 consid. 1.3). Il est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(ATF 134 II 10 consid. 4.1 et 4.2). Force est de relever que le recourant est majeur, célibataire et qu'il n'appartient pas à une famille nucléaire. La présence en Suisse des [membres de la famille] de l'intéressé ne saurait peser d'un poids déterminant dans l'examen de la proportionnalité de la mesure contestée. Il n'a d'aucune manière étayé l'éventuelle dépendance de sa mère envers lui, alors qu'il affirme prendre soin de celle-ci depuis plusieurs années en raison de son état dépressif. Même à admettre que la mère du recourant serait atteinte dans sa santé psychique - ce qu'aucun élément du dossier ne permet d'établir - il s'agirait de relever que l'éloignement du recourant n'exposerait pas celle-ci à une péjoration de son état de santé, étant donné d'une part que le fils a de facto été séparé de sa mère durant son incarcération, et que d'autre part, elle pourrait cas échéant bénéficier du soutien d'autres proches établis en Suisse.</w:t>
      </w:r>
    </w:p>
    <w:p>
      <w:r>
        <w:rPr>
          <w:b/>
        </w:rPr>
        <w:t>E. 9.7.2</w:t>
      </w:r>
    </w:p>
    <w:p>
      <w:r>
        <w:t>Selon la jurisprudence du Tribunal fédéral, les étrangers de la seconde génération peuvent se prévaloir du respect de leur vie privée au sens de l'art. 8 CEDH, indépendamment de leurs liens familiaux (ATF 139 I 16 consid. 2.2.2). En l'espèce, le fait que le recourant soit né en Suisse, ainsi que la longue durée de sa résidence sur territoire helvétique, ne constituent pas un argument suffisant pour contrebalancer l'intérêt public à le maintenir éloigné du territoire helvétique (dans le même sens : arrêt du TF 2C_319/2015 du 10 septembre 2015 consid. 6.2), pas plus que l'âge auquel il a commis les infractions les plus graves : même si l'interdiction d'entrée devait constituer en l'espèce une atteinte à l'art. 8 CEDH, une telle ingérence serait justifiée compte tenu de l'activité délictueuse déployée par le recourant, de la nature et de la gravité des infractions commises ainsi que du risque de récidive qu'il présente. Au demeurant, les faits de la présente cause ne sauraient être comparés à ceux ayant fondé «l'arrêt Emre I» (arrêt de laCourEDH Emre contre Suisse du 22 mai 2008, 42034/04). Même si, dans ce dernier cas, il était également question d'infractions commises en partie lorsque l'étranger était mineur, puis jeune adulte, leur gravité était nettement moindre puisque cumulées, les peines privatives de liberté ne représentaient que 18 mois et demi. Les infractions ayant conduit au prononcé de l'arrêt de la Cour pénale II du Tribunal cantonal du Valais en date du 2 décembre 2015, en présence desquelles le Tribunal fédéral se montre particulièrement rigoureux puisqu'elles sont notamment dirigées contre la vie, ne sont pas non plus comparables à celles auxquelles la CourEDH a été confrontée dans l'affaire Emre (en ce sens: arrêt du TF 2C_802/2015 consid. 6.3 ; arrêt du TAF F-3527/2015 du 24 mars 2017 consid. 6.6). Ainsi, l'interdiction d'entrée en Suisse prise à l'endroit du recourant apparaît également justifiée sous l'angle du principe de la proportionnalité au sens étroit. Au surplus, il apparaît que le SEM a déjà procédé à une pesée d'intérêts dans le cadre de la décision litigieuse, ce qui peut expliquer que l'autorité intimée ait fixé la durée de l'interdiction d'entrée prononcée à moins de 15 ans malgré le meurtre commis par le recourant. Alors qu'une infraction d'une telle gravité serait, selon les circonstances, susceptible de donner lieu à une interdiction d'entrée d'une durée de 15 ans (ATAF 2014/20 consid. 6.7.2 et 7), le fait que l'autorité intimée ait prononcé une interdiction d'entrée d'une durée de 12 ans tient d'ores et déjà compte de la situation personnelle du recourant et de sa naissance en Suisse.</w:t>
      </w:r>
    </w:p>
    <w:p>
      <w:r>
        <w:rPr>
          <w:b/>
        </w:rPr>
        <w:t>E. 9.8</w:t>
      </w:r>
    </w:p>
    <w:p>
      <w:r>
        <w:t>En conséquence, après une pondération des intérêts publics et privés en présence et au regard de l'ensemble des circonstances, en particulier de la gravité des faits reprochés au recourant et du risque de récidive que laisse redouter son lourd passé judiciaire, le Tribunal juge que la durée de l'interdiction d'entrée prononcée le 14 octobre 2016 à son endroit (qui est valable jusqu'au 13 octobre 2028, soit 12 ans) ne saurait être réduite.</w:t>
      </w:r>
    </w:p>
    <w:p>
      <w:r>
        <w:rPr>
          <w:b/>
        </w:rPr>
        <w:t>E. 9.9</w:t>
      </w:r>
    </w:p>
    <w:p>
      <w:r>
        <w:t>Le Tribunal constate encore que c'est à juste titre que le SEM a limité la portée de cette mesure d'éloignement aux seuls territoires de la Suisse et du Liechtenstein, puisque le recourant est un ressortissant communautaire. 10.Enfin, c'est à bon droit que le SEM n'a pas fait application de l'art. 67 al. 5 LEtr, dans la mesure où il ne ressort pas du dossier que des raisons humanitaires ou d'autres motifs importants puissent justifier le renoncement au prononcé d'une mesure d'éloignement ou la suspension de cette mesure, compte tenu notamment de la gravité des infractions commises par le recourant. 11.En conséquence, le Tribunal est amené à conclure que la décision querellée est conforme au droit et qu'elle n'est point inopportune (art. 49 PA). Partant, le recours doit être rejeté. Vu l'issue de la cause, les frais de la procédure doivent être mis à la charge du recourant, qui ne peut par ailleurs prétendre à l'octroi de dépens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