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F-6938/2024 vom 11. Oktober 2024</w:t>
      </w:r>
    </w:p>
    <w:p>
      <w:r>
        <w:t>Bundesverwaltungsgericht, 2024-10-11, DE</w:t>
      </w:r>
    </w:p>
    <w:p>
      <w:r>
        <w:rPr>
          <w:b/>
        </w:rPr>
        <w:t xml:space="preserve">Quelle: </w:t>
      </w:r>
      <w:r>
        <w:t>https://mcp.opencaselaw.ch/entscheid/bvger_F-6938_2024_d20241011</w:t>
      </w:r>
    </w:p>
    <w:p>
      <w:r>
        <w:t>FR: TAF F-6938/2024 du 11 octobre 2024</w:t>
      </w:r>
    </w:p>
    <w:p>
      <w:r>
        <w:t>IT: TAF F-6938/2024 del 11 ottobre 2024</w:t>
      </w:r>
    </w:p>
    <w:p>
      <w:pPr>
        <w:pStyle w:val="Heading2"/>
      </w:pPr>
      <w:r>
        <w:t>Regeste</w:t>
      </w:r>
    </w:p>
    <w:p>
      <w:r>
        <w:t>Schengen-Visum | Schengen-Visum; Verfügung des SEM vom 11. Oktober 2024</w:t>
      </w:r>
    </w:p>
    <w:p>
      <w:pPr>
        <w:pStyle w:val="Heading2"/>
      </w:pPr>
      <w:r>
        <w:t>Erwägungen</w:t>
      </w:r>
    </w:p>
    <w:p>
      <w:r>
        <w:rPr>
          <w:b/>
        </w:rPr>
        <w:t>E. 1.1</w:t>
      </w:r>
    </w:p>
    <w:p>
      <w:r>
        <w:t>Einspracheentscheide der Vorinstanz bezüglich Schengen-Visa sind mit Beschwerde beim Bundesverwaltungsgericht anfechtbar (vgl. Art. 112 Abs. 1 AIG [SR 142.20] i.V.m. Art. 31 ff. VGG). Das Rechtsmittelverfahren richtet sich nach dem VwVG, soweit das VGG nichts anderes bestimmt (Art. 37 VGG).</w:t>
      </w:r>
    </w:p>
    <w:p>
      <w:r>
        <w:rPr>
          <w:b/>
        </w:rPr>
        <w:t>E. 1.2</w:t>
      </w:r>
    </w:p>
    <w:p>
      <w:r>
        <w:t>Die Beschwerdeführerin ist zur Beschwerde legitimiert (Art. 48 Abs. 1 VwVG). Auf die frist- und formgerecht eingereichte Beschwerde ist einzutreten (Art. 50 Abs. 1 und Art. 52 Abs. 1 VwVG).</w:t>
      </w:r>
    </w:p>
    <w:p>
      <w:r>
        <w:rPr>
          <w:b/>
        </w:rPr>
        <w:t>E. 2</w:t>
      </w:r>
    </w:p>
    <w:p>
      <w:r>
        <w:t>Mit Beschwerde an das Bundesverwaltungsgericht kann die Verletzung</w:t>
      </w:r>
    </w:p>
    <w:p>
      <w:r>
        <w:t>F-6938/2024 Seite 3 von Bundesrecht einschliesslich Überschreitung oder Missbrauch des Er- messens, die unrichtige oder unvollständige Feststellung des rechtserheb- lichen Sachverhalts und, im Falle von Bundesbehörden, die Unangemes- senheit gerügt werden (vgl. Art. 49 VwVG). Das Bundesverwaltungsgericht wendet im Beschwerdeverfahren das Bundesrecht von Amtes wegen an und ist nicht an die Begründung der Begehren gebunden (Art. 62 Abs. 4 VwVG). Massgeblich ist grundsätzlich die Sachlage im Entscheid- zeitpunkt (vgl. BVGE 2020 VII/4 E. 2.2 m.H.).</w:t>
      </w:r>
    </w:p>
    <w:p>
      <w:r>
        <w:rPr>
          <w:b/>
        </w:rPr>
        <w:t>E. 3.1</w:t>
      </w:r>
    </w:p>
    <w:p>
      <w:r>
        <w:t>Der angefochtenen Verfügung liegt ein Gesuch eines türkischen Staatsangehörigen um Erteilung eines Visums zu Besuchszwecken in der Schweiz zugrunde. Da sich der Gesuchsteller als Drittstaatsangehöriger nicht auf die EU/EFTA-Personenfreizügigkeitsabkommen berufen kann und die beabsichtigte Aufenthaltsdauer 90 Tage nicht überschreitet, fällt die vorliegende Streitsache in den Anwendungsbereich der Schengen-Assozi- ierungsabkommen, mit denen die Schweiz den Schengen-Besitzstand so- wie die dazugehörigen gemeinschaftsrechtlichen Rechtsakte übernommen hat (BVGE 2014/1 E. 3; 2011/48 E. 3). Das AIG und dessen Ausführungs- bestimmungen gelangen nur soweit zur Anwendung, als die Schengen-As- soziierungsabkommen keine abweichenden Bestimmungen enthalten (Art. 2 Abs. 4 AIG).</w:t>
      </w:r>
    </w:p>
    <w:p>
      <w:r>
        <w:rPr>
          <w:b/>
        </w:rPr>
        <w:t>E. 3.2</w:t>
      </w:r>
    </w:p>
    <w:p>
      <w:r>
        <w:t>Das schweizerische Ausländerrecht kennt weder ein allgemeines Recht auf Einreise noch gewährt es einen besonderen Anspruch auf Ertei- lung eines Visums. Die Schweiz ist daher – wie andere Staaten auch – grundsätzlich nicht gehalten, Ausländerinnen und Ausländern die Einreise zu gestatten. Vorbehältlich völkerrechtlicher Verpflichtungen handelt es sich dabei um einen autonomen Entscheid (vgl. BVGE 2009/27 E. 3 m.w.H.). Das Schengen-Recht schränkt die nationalstaatlichen Befugnisse insoweit ein, als es einheitliche Voraussetzungen für Einreise und Visum aufstellt und die Mitgliedstaaten verpflichtet, die Einreise beziehungsweise das Visum zu verweigern, wenn die Voraussetzungen nicht erfüllt sind. Ei- nen Anspruch auf Einreise beziehungsweise Visumserteilung vermittelt auch das Schengen-Recht nicht (vgl. BVGE 2014/1 E. 4.1.5).</w:t>
      </w:r>
    </w:p>
    <w:p>
      <w:r>
        <w:rPr>
          <w:b/>
        </w:rPr>
        <w:t>E. 3.3</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erforderlich ist gemäss der Verordnung (EU)</w:t>
      </w:r>
    </w:p>
    <w:p>
      <w:r>
        <w:t>F-6938/2024 Seite 4 2018/1806 des Europäischen Parlaments und des Rates vom 14. Novem- ber 2018 zur Aufstellung der Liste der Drittländer, deren Staatsangehörige beim Überschreiten der Aussengrenzen im Besitz eines Visums sein müs- sen, sowie der Liste der Drittländer, deren Staatsangehörige von dieser Visumpflicht befreit sind (ABl. L 303/39 vom 28. November 2018 [nachfol- gend: EU-Visa-VO]). Des Weiteren müssen Drittstaatsangehörige den Zweck und die Umstände ihres beabsichtigten Aufenthalts belegen und hierfür über ausreichende finanzielle Mittel verfügen. Sie dürfen nicht im Schengener Informationssystem (SIS) zur Einreiseverweigerung ausge- schrieben sein und keine Gefahr für die öffentliche Ordnung, die innere Sicherheit, die öffentliche Gesundheit oder die internationalen Beziehun- gen eines Mitgliedstaats darstellen (siehe zum Ganzen: Art. 5 Abs. 1 AIG; Art. 3 Abs. 1 und Art. 12 Abs. 1 der Verordnung vom 15. August 2018 über die Einreise und die Visumerteilung [VEV, SR 142.204] i.V.m. Art. 6 Abs. 1 der Verordnung [EG] Nr. 2016/399 des Europäischen Parlaments und des Rates vom 9. März 2016 über einen Gemeinschaftskodex für das Über- schreiten der Grenzen durch Personen [Schengener Grenzkodex, SGK, ABl. L 77/1 vom 23. Juni 2016]; Art. 14 Abs. 1 und Art. 21 Abs. 1 der Ver- ordnung [EG] Nr. 810/2009 des Europäischen Parlaments und des Rates vom 13. Juli 2009 über einen Visakodex der Gemeinschaft [Visakodex, VK, ABl. L 243/1 vom 15. September 2009]).</w:t>
      </w:r>
    </w:p>
    <w:p>
      <w:r>
        <w:rPr>
          <w:b/>
        </w:rPr>
        <w:t>E. 3.4</w:t>
      </w:r>
    </w:p>
    <w:p>
      <w:r>
        <w:t>Eine drittstaatsangehörige Person muss für ihre fristgerechte Wieder- ausreise Gewähr bieten (Art. 5 Abs. 2 AIG). Wenn sie nicht bereit ist, das Hoheitsgebiet des Schengen-Raums fristgerecht wieder zu verlassen, ist von einer Gefahr für die öffentliche Ordnung im Sinne von Art. 6 Abs. 1 Bst. e SGK auszugehen (BVGE 2014/1 E. 4.3; 2011/48 E. 4.5). Die Behör- den haben daher zu prüfen und die gesuchstellende Person hat dement- sprechend zu belegen, dass die Gefahr einer rechtswidrigen Einwande- rung oder einer nicht fristgerechten Ausreise nicht besteht respektive dass Gewähr für die gesicherte Wiederausreise geboten wird (vgl. Art. 14 Abs. 1 Bst. d und Art. 21 Abs. 1 VK; Art. 12 VEV; BVGE 2014/1 E. 4.4). Das Visum ist zu verweigern, wenn begründete Zweifel an der Echtheit der von der gesuchstellenden Person eingereichten Belege oder am Wahrheitsgehalt ihres Inhalts, an der Glaubhaftigkeit ihrer Aussagen oder der von ihr be- kundeten Absicht bestehen, das Hoheitsgebiet der Mitgliedstaaten vor Ab- lauf der Gültigkeit des beantragten Visums zu verlassen (Art. 32 Abs. 1 Bst. b VK).</w:t>
      </w:r>
    </w:p>
    <w:p>
      <w:r>
        <w:rPr>
          <w:b/>
        </w:rPr>
        <w:t>E. 3.5</w:t>
      </w:r>
    </w:p>
    <w:p>
      <w:r>
        <w:t>Sind die Einreisevoraussetzungen nicht erfüllt, kann in Ausnahmefällen ein Visum mit räumlich beschränkter Gültigkeit erteilt werden, das nur für</w:t>
      </w:r>
    </w:p>
    <w:p>
      <w:r>
        <w:t>F-6938/2024 Seite 5 das Hoheitsgebiet des betreffenden Mitgliedstaats gilt. Von dieser Möglich- keit kann der betreffende Mitgliedstaat unter anderem Gebrauch machen, wenn er es aus humanitären Gründen, aus solchen des nationalen Interes- ses oder aufgrund internationaler Verpflichtungen für erforderlich hält (vgl. Art. 3 Abs. 4 und 5 VEV; Art. 25 Abs. 1 Bst. a Visakodex; Art. 6 Abs. 5 Bst. c SGK).</w:t>
      </w:r>
    </w:p>
    <w:p>
      <w:r>
        <w:rPr>
          <w:b/>
        </w:rPr>
        <w:t>E. 4</w:t>
      </w:r>
    </w:p>
    <w:p>
      <w:r>
        <w:t>Strittig und zu prüfen ist, ob der Gesuchsteller hinreichend Gewähr für eine fristgerechte Wiederausreise aus dem Schengen-Raum bietet.</w:t>
      </w:r>
    </w:p>
    <w:p>
      <w:r>
        <w:rPr>
          <w:b/>
        </w:rPr>
        <w:t>E. 4.1</w:t>
      </w:r>
    </w:p>
    <w:p>
      <w:r>
        <w:t>Bei der Beurteilung des Kriteriums der gesicherten Wiederausreise muss ein zukünftiges Verhalten beurteilt werden. Hierzu sind lediglich Prognosen möglich, wobei sämtliche Umstände des konkreten Einzelfalles zu würdigen sind. In die Beurteilung miteinzubeziehen sind die allgemeine Lage im Herkunftsland einerseits sowie die individuelle Situation der ge- suchstellenden Person andererseits. Bei Einreisegesuchen von Personen aus Regionen mit politisch und/oder wirtschaftlich ungünstigen Verhältnis- sen rechtfertigt sich eine strenge Praxis, da die persönliche Interessenlage in solchen Fällen häufig nicht mit dem Ziel und Zweck einer zeitlich befris- teten Einreisebewilligung im Einklang steht (BVGE 2014/1 E. 6.1 m.H.).</w:t>
      </w:r>
    </w:p>
    <w:p>
      <w:r>
        <w:rPr>
          <w:b/>
        </w:rPr>
        <w:t>E. 4.2</w:t>
      </w:r>
    </w:p>
    <w:p>
      <w:r>
        <w:t>Die Türkei befindet sich in einer schwierigen wirtschaftlichen Lage, auch wenn die dortige Wirtschaft infolge der Konsumausgaben der Bevöl- kerung und den Staatsausgaben derzeit ein Wachstum aufweist. Insbeson- dere der Südosten – der Gesuchsteller stammt aus der dort gelegenen Stadt Gaziantep – bleibt trotz Anstrengungen des Staats, die südöstlichen Gebiete durch Projekte wirtschaftlich besser zu integrieren und am Auf- schwung teilhaben zu lassen, hinter dieser im restlichen Land positiven Entwicklung zurück. Die Sicherheitslage im Südosten der Türkei ist volatil (ausführlich zum Ganzen Urteile des BVGer F-1273/2023 vom 1. Novem- ber 2024 E. 4.3.1; F-7159/2023 vom 15. Oktober 2024 E. 5.2; je m.w.H.). In Anbetracht dieser Umstände ist nicht zu beanstanden, wenn die Vor- instanz das Risiko einer nicht fristgerechten Wiederausreise von gesuch- stellenden Personen aus der Türkei allgemein als erheblich einschätzt.</w:t>
      </w:r>
    </w:p>
    <w:p>
      <w:r>
        <w:rPr>
          <w:b/>
        </w:rPr>
        <w:t>E. 4.3</w:t>
      </w:r>
    </w:p>
    <w:p>
      <w:r>
        <w:t>Nebst den allgemeinen Verhältnissen im Herkunftsland sind in die Ri- sikoanalyse auch die Umstände des konkreten Einzelfalls, insbesondere die berufliche, gesellschaftliche und familiäre Verantwortung der gesuch- stellenden Person im Herkunftsland einzubeziehen. Bei Personen, die in ihrer Heimat keine besonderen Verpflichtungen wahrnehmen oder die sich</w:t>
      </w:r>
    </w:p>
    <w:p>
      <w:r>
        <w:t>F-6938/2024 Seite 6 in wirtschaftlich ungünstigen Verhältnissen befinden, muss das Risiko ei- nes ausländerrechtlich nicht regelkonformen Verhaltens nach einer bewil- ligten Einreise als vergleichsweise hoch eingeschätzt werden (vgl. BVGE 2019 VII/1 E. 7.2; 2014/1 E. 6.3.1; 2009/27 E. 8).</w:t>
      </w:r>
    </w:p>
    <w:p>
      <w:r>
        <w:rPr>
          <w:b/>
        </w:rPr>
        <w:t>E. 4.4</w:t>
      </w:r>
    </w:p>
    <w:p>
      <w:r>
        <w:t>Der 41-jährige Gesuchsteller ist ledig und kinderlos. Mit mutmasslich in der Türkei wohnhaften Verwandten dürfte er dort im weiteren Sinn über ein familiäres Beziehungsnetz verfügen. Er macht indes keine über das übli- che Mass hinausgehenden Verpflichtungen oder gar Abhängigkeiten in sei- nem engeren familiären oder persönlichen Umfeld geltend, die besondere Gewähr für eine Rückkehr in die Türkei bieten könnten. In derartigen Kons- tellationen ist das Emigrationsrisiko erhöht, wenn – wie im vorliegenden Fall – durch die Anwesenheit einer Schwester in der Schweiz bereits ein familiäres Beziehungsnetz besteht (vgl. BVGE 2014/1 E. 6.2.2; Urteil des BVGer F-3851/2023 vom 17. Dezember 2024 E. 4.4).</w:t>
      </w:r>
    </w:p>
    <w:p>
      <w:r>
        <w:rPr>
          <w:b/>
        </w:rPr>
        <w:t>E. 4.5</w:t>
      </w:r>
    </w:p>
    <w:p>
      <w:r>
        <w:t>In Bezug auf die wirtschaftlichen Verhältnisse ist aktenkundig, dass der Gesuchsteller eigenen Angaben zufolge derzeit keiner bezahlten Erwerbs- tätigkeit nachgeht und von Mieteinnahmen lebt. Aus Kopien eines Grund- buchauszugs geht zwar hervor, dass er Eigentümer einer Immobilie ist. Die behaupteten Mieteinnahmen sind indes nicht belegt. Den ins Recht geleg- ten Bankkontoauszügen lassen sich zwischen Mai und August 2024 regel- mässige Überweisungen der Beschwerdeführerin an den Gesuchsteller in der Höhe von insgesamt 133'500 türkische Lira (zirka Fr. 3'450.– [Umrech- nungskurs vom 13.01.2025]) entnehmen. Entgegen den Ausführungen auf Beschwerdeebene kann vor diesem Hintergrund jedoch gerade nicht von stabilen wirtschaftlichen Verhältnissen ausgegangen werden, welche den Gesuchsteller von einer Emigration abzuhalten vermöchten. Zu berück- sichtigen ist überdies, dass Grundeigentum und andere Vermögenswerte bei einer Emigration nicht zwingend verloren gehen (vgl. BVGE 2014/1 E. 6.3.6 m.H.).</w:t>
      </w:r>
    </w:p>
    <w:p>
      <w:r>
        <w:rPr>
          <w:b/>
        </w:rPr>
        <w:t>E. 4.6</w:t>
      </w:r>
    </w:p>
    <w:p>
      <w:r>
        <w:t>Nach dem Gesagten ging die Vorinstanz zu Recht davon aus, die Wie- derausreise des Gesuchstellers sei nicht ausreichend gesichert. An dieser Einschätzung vermögen weder die berufliche Stellung der Beschwerdefüh- rerin noch die von ihr unterzeichnete Verpflichtungserklärung etwas zu än- dern. Auch wenn an der Integrität und finanziellen Leistungsfähigkeit der Beschwerdeführerin nicht gezweifelt werden soll, ist zu berücksichtigen, dass sie zwar mit rechtlich verbindlicher Wirkung für gewisse finanzielle Risiken im Zusammenhang mit dem Besuchsaufenthalt, nicht aber für ein</w:t>
      </w:r>
    </w:p>
    <w:p>
      <w:r>
        <w:t>F-6938/2024 Seite 7 bestimmtes Verhalten der eingeladenen Person einstehen kann (vgl. BVGE 2014/1 E. 6.3.7; BVGE 2009/27 E. 9).</w:t>
      </w:r>
    </w:p>
    <w:p>
      <w:r>
        <w:rPr>
          <w:b/>
        </w:rPr>
        <w:t>E. 5</w:t>
      </w:r>
    </w:p>
    <w:p>
      <w:r>
        <w:t>Im Ergebnis hat die Vorinstanz das nachgesuchte Visum für den Schen- gen-Raum zu Recht verweigert. Gründe humanitärer oder anderer Art, wel- che die Erteilung eines Visums mit räumlich beschränkter Gültigkeit allen- falls zu rechtfertigen vermöchten (siehe E. 3.5 hiervor), wurden nicht gel- tend gemacht und sind auch nicht ersichtlich. Die angefochtene Verfügung erweist sich als rechtmässig (Art. 49 VwVG). Die Beschwerde ist abzuwei- sen.</w:t>
      </w:r>
    </w:p>
    <w:p>
      <w:r>
        <w:rPr>
          <w:b/>
        </w:rPr>
        <w:t>E. 6</w:t>
      </w:r>
    </w:p>
    <w:p>
      <w:r>
        <w:t>Entsprechend dem Verfahrensausgang sind die Kosten der unterliegenden Beschwerdeführerin aufzuerlegen und auf Fr. 1’000.– festzusetzen (vgl. Art. 63 Abs. 1 VwVG i.V.m. Art. 1 ff. des Reglements vom 21. Februar 2008 über die Kosten und Entschädigungen vor dem Bundesverwaltungsgericht [VGKE, SR 173.320.2]). Sie sind durch den in gleicher Höhe geleisteten Kostenvorschuss gedeckt.</w:t>
      </w:r>
    </w:p>
    <w:p>
      <w:r>
        <w:rPr>
          <w:b/>
        </w:rPr>
        <w:t>E. 7</w:t>
      </w:r>
    </w:p>
    <w:p>
      <w:r>
        <w:t>Das Bundesverwaltungsgericht entscheidet in der vorliegenden Angele- genheit endgültig (Art. 83 Bst. c Ziff. 1 BGG; vgl. Urteil des BGer 2C_316/2024 vom 21. Juni 2024 E. 2). (Dispositiv: nächste Seite)</w:t>
      </w:r>
    </w:p>
    <w:p>
      <w:r>
        <w:t>F-6938/2024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