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F-692/2018 vom 30. Januar 2020</w:t>
      </w:r>
    </w:p>
    <w:p>
      <w:r>
        <w:t>Bundesverwaltungsgericht, 2020-01-30, DE</w:t>
      </w:r>
    </w:p>
    <w:p>
      <w:r>
        <w:rPr>
          <w:b/>
        </w:rPr>
        <w:t xml:space="preserve">Quelle: </w:t>
      </w:r>
      <w:r>
        <w:t>https://mcp.opencaselaw.ch/entscheid/bvger_F-692_2018</w:t>
      </w:r>
    </w:p>
    <w:p>
      <w:r>
        <w:t>FR: TAF F-692/2018 du 30 janvier 2020</w:t>
      </w:r>
    </w:p>
    <w:p>
      <w:r>
        <w:t>IT: TAF F-692/2018 del 30 gennaio 2020</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zur Beschwerde legitimiert (Art. 48 Abs. 1 VwVG). Auf die frist- und formgerecht eingereichte Beschwerde ist einzutreten (Art. 50 und 52 VwVG).</w:t>
      </w:r>
    </w:p>
    <w:p>
      <w:r>
        <w:rPr>
          <w:b/>
        </w:rPr>
        <w:t>E. 2.1</w:t>
      </w:r>
    </w:p>
    <w:p>
      <w:r>
        <w:t>Die angefochtene Verfügung erging am 15. Dezember 2017 und somit nach der Verordnung vom 22. Oktober 2008 über die Einreise und die Visumerteilung (aVEV, AS 2008 5441). Besagte Verordnung wurde per 15. September 2018 aufgehoben und durch die Verordnung über die Einreise und Visumerteilung vom 15. August 2018 (VEV, SR 142.204) ersetzt. Gemäss der Übergangsbestimmung von Art. 70 VEV werden Verfahren, die bei Inkrafttreten dieser Verordnung hängig sind, nach neuem Recht fortgeführt. Spricht eine Übergangsbestimmung ohne weitere Angaben von "hängigen Verfahren", sind stets bei der erstinstanzlich verfügenden Behörde hängige Verfahren gemeint. Art. 70 VEV entspricht der Grundregel für die Anwendung von materiellrechtlichen Bestimmungen in intertemporalrechtlichen Konstellationen, wonach diejenigen Rechtssätze massgeb-lich sind, die bei der Erfüllung des zu Rechtsfolgen führenden Sachverhalts Geltung haben (BGE 144 V 388 E. 3; 144 II 326 E. 2.1.1; 139 II 263 E. 6; 130 V 445 E. 1.2.1; 130 V 329 E. 2.3; Meyer/Arnold, Intertemporales Recht, in: ZSR 124/2005 I S. 115 ff., hier S. 127 f.). Daraus ergibt sich, dass die Streitsache auf jeder Rechtsmittelstufe gestützt auf die gleiche Rechtsgrundlage zu überprüfen ist (BGE 136 V 24 E. 4.3). Rechtsänderungen, die nach dem Zeitpunkt der erstinstanzlichen Verfügung eintreten, haben somit grundsätzlich keine Auswirkung auf das Beschwerdeverfahren (BVGE 2013/20 E. 3.2.5). Von dieser Regel gibt es gemäss dem Bundesgericht allerdings zwei Ausnahmen: Erstens, wenn zwingende Gründe für die sofortige Anwendung des neuen Rechts sprechen (vgl. BGE 139 II 243 E. 11.1; 135 II 384 E. 2.3). Zweitens ist eine Ausnahme von der genannten Regel gerechtfertigt, wenn eine auf altes Recht gestützte Verfügung nach neuem Recht sofort widerrufen werden könnte bzw. wenn sofort ein neues Gesuch eingereicht werden könnte, das nach neuem Recht beurteilt würde (vgl. BGE 129 II 497 E. 5.3.3; BGE 122 V 85 E. 3). Die zweite Ausnahme ist jedoch nur anwendbar, wenn das neue Recht günstiger oder zumindest nicht ungünstiger ist als das alte (vgl. zum Ganzen Tschannen/Zimmerli/Müller, Allgemeines Verwaltungsrecht, 4. Aufl., S. 202 Rz. 20).</w:t>
      </w:r>
    </w:p>
    <w:p>
      <w:r>
        <w:rPr>
          <w:b/>
        </w:rPr>
        <w:t>E. 2.2</w:t>
      </w:r>
    </w:p>
    <w:p>
      <w:r>
        <w:t>Die streitige Verfügung (Einspracheentscheid des SEM) erging am 15. Dezember 2017. Folglich war die Angelegenheit am 15. September 2018 (Zeitpunkt des Inkrafttretens der neuen VEV) nicht mehr bei der ersten Instanz hängig; sie war bereits entschieden (wenn auch nicht rechtskräftig). Nach dem Gesagten käme gemäss Art. 70 VEV im Prinzip die aVEV zur Anwendung, weil die Rechtsänderung - wie erwähnt - erst während des Beschwerdeverfahrens eingetreten ist (vgl. in diesem Zusammenhang Urteil des BGer 2C_827/2012 vom 19. April 2013 E. 2.2, bestätigt in Urteil 2C_309/310/2013 vom 18. September 2013 E. 2.1). Da jedoch das neue Recht nicht ungünstiger ist und die Eingeladenen jederzeit ein neues Gesuch einreichen könnten, welches unter dem neuen Recht zu prüfen wäre, kann die Streitsache im Lichte des neuen Rechts überprüft werden (vgl. BGE 127 II 209 E. 2b).</w:t>
      </w:r>
    </w:p>
    <w:p>
      <w:r>
        <w:rPr>
          <w:b/>
        </w:rPr>
        <w:t>E. 2.3</w:t>
      </w:r>
    </w:p>
    <w:p>
      <w:r>
        <w:t>Am 1. Januar 2019 ist die Teilrevision des Ausländergesetzes vom 16. Dezember 2005 (AuG) abschliessend in Kraft getreten (AS 2018 3171). Dabei wurde der Titel des Gesetzes in "Ausländer- und Integrationsgesetz" (AIG, SR 142.20) umbenannt. Das Gericht verwendet ab diesem Zeitpunkt die neue Bezeichnung, da die in diesem Urteil behandelten wesentlichen Bestimmungen nicht geändert wurden (vgl. Urteil des BVGer F-2068/2018 vom 1. Februar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4</w:t>
      </w:r>
    </w:p>
    <w:p>
      <w:r>
        <w:t>Der angefochtenen Verfügung liegen die Gesuche einer sri-lankischen Mutter mit ihren beiden Kindern um Erteilung von Visa für einen 23-tägigen Besuchsaufenthalt in der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soweit zur Anwendung, als die Schengen-Assoziierungsabkommen keine abweichenden Bestimmungen enthalten (vgl. Art. 2 Abs. 2 - 5 AIG).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Stämpflis Handkommentar zum Bundesgesetz über die Ausländerinnen und Ausländer, Bern 2010, Art. 5 N. 3 f.).</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AIG, Art. 2 Abs. 1 aVEV resp. Art. 3 Abs. 1 VEV i.V.m. Art. 6 Abs. 1 und 2 der Verordnung [EU] Nr. 2016/399 des Europäischen Parlaments und des Rates vom 9. März 2016 über einen Gemeinschaftskodex für das Überschreiten der Grenzen durch Personen [nachfolgend: Schengener Grenzkodex, SGK, ABl. L 77 vom 23.03.2016; kodifizierter Text]).</w:t>
      </w:r>
    </w:p>
    <w:p>
      <w:r>
        <w:rPr>
          <w:b/>
        </w:rPr>
        <w:t>E. 5.3</w:t>
      </w:r>
    </w:p>
    <w:p>
      <w:r>
        <w:t>Im Weiteren müssen Drittstaatsangehörige den Zweck und die Umstände ihres beabsichtigten Aufenthalts belegen und hierfür über ausreichende finanzielle Mittel verfügen (Art. 5 Abs. 1 Bst. b AIG, Art. 2 Abs. 1 aVEV resp. Art. 3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AIG;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AIG,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Voraussetzungen (Visum ausgenommen) nicht erfüllt, darf ein für den gesamten Schengen-Raum geltendes "einheitliches Visum" (Art. 2 Ziff. 3 Visakodex) nicht erteilt werden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unterliegen die Gesuchstellenden der Visumspflicht. Bei der Prüfung der Einreisevoraussetzungen nach Art. 6 Abs. 1 SGK ist die Frage der gesicherten Wiederausreise zentral. Eine solche erachtet die Vorinstanz aufgrund der allgemeinen Situation im Heimatland und der persönlichen Verhältnisse der Betroffenen als nicht genügend gewährleistet.</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und/oder wirtschaftlich vergleichsweise ungünstigen Verhältnissen können ein Indiz dafür sein, dass die persönliche Interessenlage nicht mit dem Ziel und Zweck einer zeitlich befristeten Einreisebewilligung in Einklang steht.</w:t>
      </w:r>
    </w:p>
    <w:p>
      <w:r>
        <w:rPr>
          <w:b/>
        </w:rPr>
        <w:t>E. 6.3</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 woher auch die Gesuchstellerin 1 ursprünglich stammt -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Massnahmen zur Versöhnung der ehemaligen Bürgerkriegsparteien umzusetzen. Der sehr spät ins Auge gefasste Versöhnungsprozess macht deutlich, dass der Weg zu dauerhaftem Frieden und Stabilität noch weit ist (vgl. zum Ganzen Urteil des BVGer F-5002/2018 vom 9. Januar 2019 E. 5.3 m.w.H.).</w:t>
      </w:r>
    </w:p>
    <w:p>
      <w:r>
        <w:rPr>
          <w:b/>
        </w:rPr>
        <w:t>E. 6.4</w:t>
      </w:r>
    </w:p>
    <w:p>
      <w:r>
        <w:t>Zu Recht wies die Vorinstanz in ihrer Verfügung darauf hin, die Gesuchstellerin 1 stamme ursprünglich aus einer Region (Distrikt Jaffna), aus welcher als Folge der dort insbesondere in wirtschaftlicher Hinsicht herrschenden Verhältnisse der Abwanderungsdruck nach wie vor stark anhalte, da in den ehemaligen Bürgerkriegsgebieten im Norden und Nordosten Sri Lankas viele Menschen am Existenzminimum lebten und dort die Gesundheitsversorgung prekär sei. Das SEM scheint aber zu verkennen, dass die Gesuchstellerin 1, welche am 18. Januar 2002 im Rahmen des Familiennachzuges zu ihrem Ehemann in die Schweiz eingereist war, im Jahre 2010 zusammen mit ihren in der Schweiz geborenen Kindern freiwillig in ihr Heimatland zurückgekehrt ist und seither nicht mehr in einem Krisengebiet, sondern in der Hauptstadt Colombo wohnhaft ist (SEM act. 4/67). Die Ausführungen der Vorinstanz zu den schwierigen Verhältnissen im Norden und Nordosten sind deshalb in Bezug auf die neue Wohnsituation der Gesuchstellenden überholt.</w:t>
      </w:r>
    </w:p>
    <w:p>
      <w:r>
        <w:rPr>
          <w:b/>
        </w:rPr>
        <w:t>E. 7.1</w:t>
      </w:r>
    </w:p>
    <w:p>
      <w:r>
        <w:t>Vorab ist festzuhalten, dass sich die Vorinstanz weder in der angefochtenen Verfügung noch in ihrer Vernehmlassung ausführlich mit den persönlichen Verhältnissen der Gesuchstellenden auseinandergesetzt hat. Bereits die Abklärungen der Schweizer Vertretung in Colombo zur Situation der Gesuchstellenden im Heimatland sind äusserst oberflächlich und rudimentär ausgefallen. Zudem wurde der rechtserhebliche Sachverhalt nicht nur unvollständig, sondern teilweise auch unrichtig festgestellt (Art. 49 Bst. b VwVG). So hatte die Schweizer Botschaft in ihrer Mitteilung an die Vorinstanz einerseits festgehalten, die Gesuchstellerin 1 sei nie im Schengenraum gewesen, obwohl diese sich während rund acht Jahren im Rahmen des Familiennachzuges bei ihrem Ehemann in der Schweiz aufgehalten hatte. Andererseits war darauf hingewiesen worden, dass der Ehemann als Flüchtling in der Schweiz lebe, was ebenfalls nicht zutrifft. Bereits im Februar 1989 hatte dieser zwar aufgrund der damals herrschenden bürgerkriegsähnlichen Zustände sein Heimatland verlassen und am 15. Februar 1989 in der Schweiz ein Asylgesuch gestellt, welches vom damaligen Bundesamt für Flüchtlinge am 17. Januar 1995 indessen abgewiesen wurde. Gleichzeitig wurde er jedoch in der Schweiz vorläufig aufgenommen, weil eine Rückschaffung nach Sri Lanka zum damaligen Zeitpunkt nicht möglich war. Seit dem 10. April 2000 ist der Gastgeber im Besitze einer Aufenthaltsbewilligung im Kanton Luzern, welche seither regelmässig verlängert wurde. Zwischenzeitlich war der Beschwerdeführer besuchshalber wieder in seinem Heimatland, wo er am 8. September 2001 die Gesuchstellerin 1 geheiratet hatte.</w:t>
      </w:r>
    </w:p>
    <w:p>
      <w:r>
        <w:rPr>
          <w:b/>
        </w:rPr>
        <w:t>E. 7.2</w:t>
      </w:r>
    </w:p>
    <w:p>
      <w:r>
        <w:t>Bei der Gesuchstellerin 1 handelt es sich um eine mittlerweile 48-jährige Hausfrau, welche nach achtjähriger legaler Anwesenheit in der Schweiz seit rund neun Jahren wieder in ihrem Heimatland lebt, wo ihre beiden Kinder seither das "X._______ Institute" (...) in Colombo - eine hoch angesehene Privatschule - besuchen, welche die Zulassung zu den Universitäten in London und Australien gewährt. Schon allein aufgrund dieses Umstandes darf in casu davon ausgegangen werden, die Gesuchstellenden lebten in wirtschaftlich privilegierten Verhältnissen (vgl. in diesem Zusammenhang Urteil des BVGer F-4295/2014 vom 31. August 2016 E. 5.5), was sie denn auch mit zahlreichen Bankauszügen, welche im Rahmen des Beschwerdeverfahrens eingereicht wurden und ein Gesamtguthaben der Familie von umgerechnet gegen Fr. 40'000.- ausweisen, belegen können. Abgesehen davon steht der Hinweis der Vorinstanz in der Vernehmlassung vom 28. März 2018, wonach selbst ein Vermögen in diesem Umfang keine hinreichende Gewähr für eine fristgerechte und anstandslose Wiederausreise der Gesuchstellenden leisten könne, in gewissem Widerspruch zu den Ausführungen im Einspracheentscheid vom 15. Dezember 2017, in welchem festgehalten wurde, den wirtschaftlichen Verhältnissen, in denen sich die Gesuchstellenden befänden, komme eine grosse Bedeutung zu. Aufgrund der Aktenlage ist demnach davon auszugehen, die Gesuchstellenden verfügten über eine relativ gesicherte wirtschaftliche Existenz in ihrem Heimatland, welche geeignet ist, das Risiko einer nicht fristgerechten Wiederausreise nach einem Besuchsaufenthalt in der Schweiz entscheidend herabzusetzen, nicht zuletzt auch deshalb, weil sie im Jahre 2010 freiwillig in ihr Heimatland zurückgekehrt sind und ein bloss 23-tägiger Besuchsaufenthalt - während der Schulferien der Kinder - beantragt wird.</w:t>
      </w:r>
    </w:p>
    <w:p>
      <w:r>
        <w:rPr>
          <w:b/>
        </w:rPr>
        <w:t>E. 7.3</w:t>
      </w:r>
    </w:p>
    <w:p>
      <w:r>
        <w:t>Nach dem Gesagten dürften die Gesuchstellenden somit kaum Anlass zum (definitiven) Verlassen ihres Landes haben. Im Weiteren darf davon ausgegangen werden, dass der seit über drei Jahrzehnten in der Schweiz lebende Beschwerdeführer, welcher von allem Anfang an seine Mitwirkungspflicht bei der Abklärung des rechtserheblichen Sachverhalts wahrgenommen und die von ihm verlangten Auskünfte erteilt bzw. die notwendigen Belege eingereicht hat, als Gastgeber zweifellos besorgt sein wird, dass seine Ehefrau und Kinder die Schweiz termingerecht wieder verlassen werden.</w:t>
      </w:r>
    </w:p>
    <w:p>
      <w:r>
        <w:rPr>
          <w:b/>
        </w:rPr>
        <w:t>E. 7.4</w:t>
      </w:r>
    </w:p>
    <w:p>
      <w:r>
        <w:t>Vor diesem Hintergrund fragt sich, ob dem Risiko einer nicht fristgerechten Wiederausreise der Gesuchstellenden und den in diesem Fall entstehenden hohen Aufenthalts-, Betreuungs- und Rückreisekosten vorliegend mit der Auferlegung einer Kaution Rechnung getragen werden kann (vgl. Art. 6 Abs. 3 SGK i.V.m. Art. 5 Abs. 1 Bst. b AIG; vgl. auch Art. 6 Abs. 3 AIG; vgl. hierzu und zum Folgenden Urteil des BVGer F-190/2017 vom 9. Oktober 2018 E. 8.3 [zur Publikation vorgesehen]). Die vorgängige Hinterlegung einer Kaution soll im Einklang mit Art. 5 Abs. 2 AIG und Art. 6 Abs. 1 Bst. c sowie Abs. 3 SGK (s. auch Anhang I) ebenfalls dazu dienen, Gewähr für die sichere Wiederausreise der Gesuchstellenden bei Ablauf ihrer Visa zu bieten. Im Urteil F-190/2017 wurde die Möglichkeit der Hinterlegung einer Kaution für einen 30-tägigen Besuchsaufenthalt einer 35-jährigen, verheirateten Frau aus Gambia bei ihrem Cousin in der Schweiz bejaht, da ihr als Mutter von drei minderjährigen Kindern sowie als Ehe- und Hausfrau eine familiäre Verantwortung oblag, die besondere Gewähr für eine Rückkehr ins Heimatland bot. Ihre wirtschaftliche Situation konnte als eher vorteilhaft bezeichnet werden (vgl. Urteil F-190/2017 E. 8.1 und 8.2). Die Lage der Gesuchstellenden stellt sich vorliegend insofern anders dar, als ihnen, weil ein gemeinsamer Besuchsaufenthalt der ganzen Restfamilie in der Schweiz geplant ist, keine weiteren familiären Verpflichtungen im Heimatland oblägen. Auf der anderen Seite haben die Gesuchstellenden ihr ausländerrechtlich konformes Verhalten anlässlich ihres langjährigen Aufenthaltes in der Schweiz mit anschliessender freiwilliger Rückkehr in ihr Heimatland hinreichend unter Beweis gestellt. Vor diesem Hintergrund sowie angesichts des zeitlich eng umgrenzten Besuchsaufenthalts (23 Tage) und der Bereitschaft des Beschwerdeführers, für allfällig entstehende Aufenthalts-, Betreuungs- und Rückreisekosten finanziell einzustehen und nötigenfalls als Sicherheit eine Kaution von Fr. 30'000.- zu hinterlegen (vgl. Bst. E. und G. des Sachverhalts), erscheint das Risiko einer nicht fristgerechten Wiederausreise der Gesuchstellenden im vorliegenden Fall insgesamt als vergleichbar mit jenem im Urteil F-190/2017. Somit sind den Gesuchstellenden die beantragten Visa unter der Auflage zu erteilen, dass sie sowie der Beschwerdeführer solidarisch aufzufordern sind, eine Kaution im Betrag von Fr. 30'000.- beim zuständigen kantonalen Migrationsamt bzw. auf ein von letzterer Behörde bezeichnetes Bankkonto (Bankgarantie) in der Schweiz zu hinterlegen (vgl. Art. 6 Abs. 3 AIG i.V.m. Art. 15 Abs. 5 [analog] und Art. 18 VEV).</w:t>
      </w:r>
    </w:p>
    <w:p>
      <w:r>
        <w:rPr>
          <w:b/>
        </w:rPr>
        <w:t>E. 8</w:t>
      </w:r>
    </w:p>
    <w:p>
      <w:r>
        <w:t>Zusammenfassend ist somit festzuhalten, dass den Gesuchstellern die Erteilung eines Visums nicht mit der Begründung verweigert werden kann, die Wiederausreise sei nicht gesichert. Daran ändert nichts, dass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der angefochtene Einspracheentscheid aufzuheben und die Sache zu neuer Beurteilung an die Vorinstanz zurückzuweisen. Dabei bleibt der Vorinstanz zu prüfen, ob die übrigen Voraussetzungen für die Erteilung der beantragten Visa erfüllt sind, beziehungsweise, ob die Kautionszahlung geleistet wurde.</w:t>
      </w:r>
    </w:p>
    <w:p>
      <w:r>
        <w:rPr>
          <w:b/>
        </w:rPr>
        <w:t>E. 9</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1'600.-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