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F-690/2018 vom 17. August 2018</w:t>
      </w:r>
    </w:p>
    <w:p>
      <w:r>
        <w:t>Bundesverwaltungsgericht, 2018-08-17, DE</w:t>
      </w:r>
    </w:p>
    <w:p>
      <w:r>
        <w:rPr>
          <w:b/>
        </w:rPr>
        <w:t xml:space="preserve">Quelle: </w:t>
      </w:r>
      <w:r>
        <w:t>https://mcp.opencaselaw.ch/entscheid/bvger_F-690_2018</w:t>
      </w:r>
    </w:p>
    <w:p>
      <w:r>
        <w:t>FR: TAF F-690/2018 du 17 août 2018</w:t>
      </w:r>
    </w:p>
    <w:p>
      <w:r>
        <w:t>IT: TAF F-690/2018 del 17 agosto 2018</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Die Beschwerdeführerin ist gemäss Art. 48 Abs. 1 VwVG als Verfügungsadressatin zur Beschwerde legitimiert. Auf die im Übrigen frist- und formgerecht eingereichte Beschwerde ist einzutreten (vgl. Art. 50 und 52 VwVG).</w:t>
      </w:r>
    </w:p>
    <w:p>
      <w:r>
        <w:rPr>
          <w:b/>
        </w:rPr>
        <w:t>E. 1.3</w:t>
      </w:r>
    </w:p>
    <w:p>
      <w:r>
        <w:t>Das Bundesverwaltungsgericht entscheidet in der vorliegenden Angelegenheit endgültig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Rechtsvertreter beantragte, ohne nähere Erläuterungen, eine Parteibefragung seiner Mandantin. Über diesen Beweisantrag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Im vorliegenden Fall erschliesst sich der entscheidswesentliche Sachverhalt in hinreichender Weise aus den Akten. Was die Befragung der Beschwerdeführerin anbelangt, so erhielt diese vor Erlass der angefochtenen Verfügung und auch während des Rechtsmittelverfahrens (BVGer act. 1 bzw. act. 12) Gelegenheit, sich zur Angelegenheit schriftlich zu äussern. Wesentlich Neues wäre bei einem Parteiverhör nicht zu erwarten. Von der beantragten Beweisvorkehr kann deshalb in antizipierter Beweiswürdigung ohne Verletzung des Anspruchs auf rechtliches Gehör abgesehen werden (BGE 141 I 60 E. 3.3 m.H.).</w:t>
      </w:r>
    </w:p>
    <w:p>
      <w:r>
        <w:rPr>
          <w:b/>
        </w:rPr>
        <w:t>E. 3.4</w:t>
      </w:r>
    </w:p>
    <w:p>
      <w:r>
        <w:t>Da der Beschwerdeführer mit den kantonalen Behörden in französischer Sprache kommuniziert hatte, durfte das SEM die angefochtene Verfügung in französischer Sprache abfassen.</w:t>
      </w:r>
    </w:p>
    <w:p>
      <w:r>
        <w:rPr>
          <w:b/>
        </w:rPr>
        <w:t>E. 4</w:t>
      </w:r>
    </w:p>
    <w:p>
      <w:r>
        <w:t>Der Rechtsvertreter beantragte des Weiteren, ohne nähere Begründung, die Durchführung einer mündlichen Verhandlung. Gemäss Art. 40 Abs. 1 VGG ordnet der Instruktionsrichter eine öffentliche Parteiverhandlung an, wenn es eine Partei verlangt oder gewichtige öffentliche Interessen es rechtfertigen, soweit zivilrechtliche Ansprüche oder strafrechtliche Anklagen im Sinne von Art. 6 Abs. 1 EMRK zu beurteilen sind. Die vorliegende Sache fällt jedoch nicht in den sachlichen Geltungsbereich von Art. 6 Abs. 1 EMRK (vgl. Urteil des EGMR van Marle und andere gegen die Niederlande vom 26. Juni 1986, Serie A Band 101, §27-38), weshalb die Beschwerdeführerin keinen Anspruch auf eine mündliche öffentliche Verhandlung hat. Dem Antrag ist somit nicht stattzugeben.</w:t>
      </w:r>
    </w:p>
    <w:p>
      <w:r>
        <w:rPr>
          <w:b/>
        </w:rPr>
        <w:t>E. 5.1</w:t>
      </w:r>
    </w:p>
    <w:p>
      <w:r>
        <w:t>Gemäss Art. 67 Abs. 1 AuG verfügt das SEM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5.2</w:t>
      </w:r>
    </w:p>
    <w:p>
      <w:r>
        <w:t>Das Einreiseverbot wird gemäss Art. 67 Abs. 3 AuG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ausnahmsweise abgesehen oder ein Einreiseverbot vollständig oder vorübergehend aufgehoben werden (Art. 67 Abs. 5 AuG).</w:t>
      </w:r>
    </w:p>
    <w:p>
      <w:r>
        <w:rPr>
          <w:b/>
        </w:rPr>
        <w:t>E. 5.3</w:t>
      </w:r>
    </w:p>
    <w:p>
      <w:r>
        <w:t>Das Einreiseverbot ist keine Sanktion für vergangenes Fehlverhalten, sondern eine Massnahme zur Abwendung einer künftigen Störung der öf-fentlichen Sicherheit und Ordnung (siehe Botschaft zum AuG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F-4347/2016 vom 6. Juni 2018 E. 3.2 m.H.).</w:t>
      </w:r>
    </w:p>
    <w:p>
      <w:r>
        <w:rPr>
          <w:b/>
        </w:rPr>
        <w:t>E. 5.4</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bestehenden Rechte und Pflichten im Zusammenhang mit ausländerrechtlichen Vorschriften ins Bild zu setzten und sich im Falle von Unklarheiten bei der zuständigen Behörde zu erkundigen (vgl. statt vieler Urteil des BVGer F-3494/2017 vom 2. Mai 2018 E. 3.3 m.H.). 6.6.1 Mit Strafbefehl vom 4. April 2017 der Staatsanwaltschaft Freiburg wurde die Beschwerdeführerin des rechtswidrigen Aufenthalts für schuldig befunden und zu einer Geldstrafe von 90 Tagessätzen (bedingt, Probezeit von zwei Jahren) und zu einer Busse von Fr. 1'000.- bestraft. 6.2 Es besteht kein Anlass, von der Erkenntnis der Strafbehörde abzuweichen (zur Bindungswirkung strafrechtlicher Erkenntnisse auf das ausländerrechtliche Administrativverfahren vgl. statt vieler Urteil des BVGer C-5190/2014 vom 25. 09.2015 E. 5.3.1 m.H.). 6.3 Drittstaatsangehörige dürfen über die Aussengrenzen des Schengen-Raums für einen Aufenthalt von höchstens 90 Tagen innerhalb eines Zeit-raums von 180 Tagen einreisen, wenn sie im Besitz gültiger Reisedoku-mente sind, die zum Grenzübertritt berechtigen (vgl. Art. 6 Abs. 1 der Ver-ordnung [EG] Nr. 2016/399 des Europäischen Parlaments und des Rates vom 9. März 2016 über einen Gemeinschaftskodex für das Überschreiten der Grenzen durch Personen [Schengener Grenzkodex, SGK, ABl. L 77 vom 23.03.2016]). Ferner benötigen sie ein Visum, falls ein solches nach Massgabe der EU-Visa-Verordnung erforderlich ist ([EG] Nr. 539/2001 des Rates vom 15. März 2001 [ABl. L 81 vom 21.03.2001] zur Aufstellung der Liste der Drittländer, deren Staatsangehörige beim Überschreiten der Aus-sengrenzen im Besitz eines Visums sein müssen (Kosovo), sowie der Liste der Drittländer, deren Staatsangehörige von dieser Visumpflicht befreit sind; vgl. dazu und zu den weiteren Voraussetzungen Art. 6 Abs. 1 Bst. a bis e SGK). Die Beschwerdeführerin ist nicht wie ihr Ehemann im Besitz einer Niederlassungsbewilligung in Slowenien. Das für die Einreise in die Schweiz notwendige Visum und eine Bewilligung hatte die Beschwerdeführerin weder für sich selbst, noch für ihre Kinder. Ihr Aufenthalt in der Schweiz war daher rechtswidrig. Dabei kann sie sich auch nicht auf Unkenntnis oder eine Fehlinterpretation der Einreise- und Aufenthaltsvorschriften berufen (vgl. E. 5.4). 6.4 Aus den vorerwähnten Gründen ist festzuhalten, dass die Beschwerdeführerin den Fernhaltegrund eines Verstosses gegen die öffentliche Sicherheit und Ordnung im Sinne von Art. 67 Abs. 2 Bst. a AuG gesetzt hat. 7.7.1 Den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 H.). 7.2 An der Einhaltung der Rechtsordnung im Allgemeinen und den Vorschriften über Einreise und Aufenthalt im Besonderen besteht ein gewichtiges öffentliches Interesse. Angesichts des illegalen Aufenthalts von fast zwei Jahren in der Schweiz besteht bereits aus generalpräventiven Gründen ein öffentliches Interesse an der Fernhaltung der Beschwerdeführerin. Zum anderen liegt eine spezialpräventive Zielsetzung der Massnahme darin, die Beschwerdeführerin zu ermahnen, bei einer allfälligen künftigen Wiedereinreise nach dem Ablauf des Einreiseverbots die für sie geltenden Regeln einzuhalten. Dies umso mehr, weil die Beschwerdeführerin trotz bestehendem Einreiseverbot im Januar 2018 versuchte, erneut in die Schweiz einzureisen. Das öffentliche Interesse an einer zeitweiligen Fernhaltung der Beschwerdeführerin ist demnach als gewichtig anzusehen (vgl. Urteil des BVGer F-954/2016 vom 3. August 2016 E. 8.2 m.H.). 7.3 Dem öffentlichen Interesse sind die privaten Interessen der Beschwerdeführerin an persönlichen Kontakten zu in der Schweiz lebendenden Verwandten gegenüber zu stellen. Solche Beziehungen fallen nicht in den Schutzbereich von Art. 8 EMRK, da die diesbezüglichen Anforderungen sehr hoch sind (vgl. BGE 130 II 281 E. 3.2.1; Jens Meyer-Ladewig, EMRK, Handkommentar, 3. Aufl. 2011, N 67 zu Art. 8). Die Beschwerdeführerin kann jedoch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die Beschwerdeführerin weiterhin die Möglichkeit, Beziehungen zu Personen in der Schweiz auf schweizerischem Hoheitsgebiet zu pflegen. Kontakte ausserhalb der Schweiz und des Fürstentums Liechtenstein bzw. auf andere Weise als durch persönliche Treffen sind von der Massnahme nicht betroffen (vgl. BVGE 2013/4 E. 7.4.3 m.H.). 7.4 Eine wertende Gewichtung der sich gegenüberstehenden Interessen führt das Bundesverwaltungsgericht zum Ergebnis, dass das Einreiseverbot dem Grundsatz nach zu bestätigen ist. In Anbetracht des lange dauernden unrechtmässigen Aufenthalts sowie im Vergleich mit ähnlich gelagerten Fällen ist es auch als angemessen zu erachten. 8.Aus diesen Erwägungen ergibt sich, dass die angefochtene Verfügung im Lichte von Art. 49 VwVG nicht zu beanstanden ist. Die Beschwerde ist so-mit abzuweisen. 9.Entsprechend dem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