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F-6906/2018 vom 10. Dezember 2019</w:t>
      </w:r>
    </w:p>
    <w:p>
      <w:r>
        <w:t>Bundesverwaltungsgericht, 2019-12-10, DE</w:t>
      </w:r>
    </w:p>
    <w:p>
      <w:r>
        <w:rPr>
          <w:b/>
        </w:rPr>
        <w:t xml:space="preserve">Quelle: </w:t>
      </w:r>
      <w:r>
        <w:t>https://mcp.opencaselaw.ch/entscheid/bvger_F-6906_2018</w:t>
      </w:r>
    </w:p>
    <w:p>
      <w:r>
        <w:t>FR: TAF F-6906/2018 du 10 décembre 2019</w:t>
      </w:r>
    </w:p>
    <w:p>
      <w:r>
        <w:t>IT: TAF F-6906/2018 del 10 dicembre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F-5969/2016 vom 28. September 2017 E. 4.4. m.H.).</w:t>
      </w:r>
    </w:p>
    <w:p>
      <w:r>
        <w:rPr>
          <w:b/>
        </w:rPr>
        <w:t>E. 4.3</w:t>
      </w:r>
    </w:p>
    <w:p>
      <w:r>
        <w:t>Die Anordnung eines Einreiseverbots kann gemäss ständiger Rechtsprechung auch dann ergehen, wenn ein rechtskräftiges Strafurteil fehlt, so weil ein Strafverfahren nicht eröffnet wurde, noch hängig ist oder wie in diesem Fall eingestellt wurde (vgl. Urteile des BVGer F-5969/2016 vom 28. September 2017 E. 6.4 m.H.; C-7068/2013 vom 19. Mai 2015 E. 5.5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wobei die Unschuldsvermutung im Administrativverfahren grundsätzlich keine Geltung beanspruchen kann (vgl. Urteil des BVGer F-7146/2017 vom 30. Mai 2018 E. 4.3).</w:t>
      </w:r>
    </w:p>
    <w:p>
      <w:r>
        <w:rPr>
          <w:b/>
        </w:rPr>
        <w:t>E. 5.1</w:t>
      </w:r>
    </w:p>
    <w:p>
      <w:r>
        <w:t>Die Beschwerdeführerin macht geltend, dass das Strafverfahren gegen sie eingestellt worden sei und es nicht nachvollziehbar sei, weshalb die Verwaltungsbehörden von den tatsächlichen und rechtlichen Feststellungen der Strafbehörden abweichen sollten. Grund ihrer Einreise in die Schweiz am 9. August 2018 sei im Übrigen der Besuch ihrer in Aarwangen wohnhaften Freundin gewesen, die kurz zuvor einen Sohn zur Welt gebracht habe. Anlässlich ihres Besuches in der Bar "X._______" in Olten vom 3. November 2018 habe sie sich "aus kulturell bedingter Hilfsbereitschaft" und aus Langeweile entschieden, den Freund der Geschäftsführerin beim Ein- und Ausräumen von Bierflaschen in den Kühlschrank zu unterstützen. Dabei habe es sich um eine blosse Gefälligkeit, hingegen nicht um eine bewilligungspflichtige Erwerbstätigkeit gehandelt, wie dies denn auch die Strafbehörde festgestellt habe. Dasselbe müsse auch für das Kinderhüten bei ihrer langjährigen Freundin in Aarwangen gelten, sei dies doch absolut freiwillig, unentgeltlich und im Rahmen eines kulturellen und moralischen Freundschaftsdienstes geschehen.</w:t>
      </w:r>
    </w:p>
    <w:p>
      <w:r>
        <w:rPr>
          <w:b/>
        </w:rPr>
        <w:t>E. 5.2</w:t>
      </w:r>
    </w:p>
    <w:p>
      <w:r>
        <w:t>Die Vorinstanz begründete das Einreiseverbot demgegenüber damit, aufgrund des Einvernahmeprotokolls der Kantonspolizei Solothurn vom 6. November 2018 sowie der im Rahmen der Kontrolle in der Bar "X._______" vor Ort angetroffenen Umstände gehe das SEM klar davon aus, dass die Beschwerdeführerin in der Schweiz einer Erwerbstätigkeit ohne entsprechende Arbeitsbewilligung nachgegangen sei, womit sie sich auch des rechtswidrigen Aufenthalts schuldig gemacht habe. Ausserdem sei sie mit der Absicht in die Schweiz eingereist, das Baby ihrer Freundin zu hüten, während diese am Arbeiten gewesen sei. Auch hierbei handle es sich fraglos um eine bewilligungspflichtige Erwerbstätigkeit im Sinne von Art. 11 AIG.</w:t>
      </w:r>
    </w:p>
    <w:p>
      <w:r>
        <w:rPr>
          <w:b/>
        </w:rPr>
        <w:t>E. 6</w:t>
      </w:r>
    </w:p>
    <w:p>
      <w:r>
        <w:t>Im Folgenden ist deshalb zunächst darauf einzugehen, ob die Beschwerdeführerin einer Erwerbstätigkeit im Sinne von Art. 11 Abs. 2 AIG nachgegangen ist.</w:t>
      </w:r>
    </w:p>
    <w:p>
      <w:r>
        <w:rPr>
          <w:b/>
        </w:rPr>
        <w:t>E. 6.1</w:t>
      </w:r>
    </w:p>
    <w:p>
      <w:r>
        <w:t>Der ausländerrechtliche Begriff der Erwerbstätigkeit ist weit gefasst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6.2</w:t>
      </w:r>
    </w:p>
    <w:p>
      <w:r>
        <w:t>Mitarbeitende der Kantonspolizei Solothurn stellten anlässlich einer Kontrolle in besagter Bar in Olten fest, wie die Beschwerdeführerin hinter der Bar stand, diverse Getränke in den Kühlschrank ein- und auch wieder ausräumte und sich mit Gästen unterhielt. Anlässlich der polizeilichen Einvernahme bestätigte die Beschwerdeführerin diesen Sachverhalt, machte jedoch geltend, für ihre Gefälligkeit lediglich ein Süssgetränk erhalten zu haben. Die kurze Hilfeleistung, der Charakter der Freundschaftlichkeit und die spontane Gelegenheit ändern nichts an der Tatsache, dass es sich bei der Gefälligkeitshandlung der Beschwerdeführerin im ausländerrechtlicher Sinn um eine Tätigkeit handelt, die üblicherweise von entsprechendem Personal gegen Entgelt verrichtet wird. Selbst wenn die verrichtete Arbeit, wie im Beschwerdeverfahren behauptet, ohne Gegenleistung erfolgte, ist sie im Ausländerrecht als Erwerbstätigkeit zu qualifizieren (zum Wesen des ausländerrechtlichen Erwerbsbegriffs und dessen Abgrenzung vgl. statt vieler Urteil des BVGer F-6220/2016 vom 17. Mai 2018 E. 4.1 f.). Die beantragte Parteibefragung vermag an dieser Ausgangslage nichts zu ändern, weshalb auf sie verzichtet werden kann.</w:t>
      </w:r>
    </w:p>
    <w:p>
      <w:r>
        <w:rPr>
          <w:b/>
        </w:rPr>
        <w:t>E. 6.3</w:t>
      </w:r>
    </w:p>
    <w:p>
      <w:r>
        <w:t>In ausländerrechtlicher Hinsicht stärker ins Gewicht fällt jedoch der Umstand, dass die Beschwerdeführerin bereits am 9. August 2018 in die Schweiz eingereist war, um während rund drei Monaten - ohne entsprechende Bewilligung - das Baby ihrer Freundin in Aarwangen zu hüten. Sie gab denn auch zu, das Kleinkind täglich, ausser am Wochenende, gegen gratis Kost und Logis betreut zu haben, damit die Gastgeberin während dieser Zeit einer Erwerbstätigkeit nachgehen konnte. Ohne Belang ist, dass diese Hilfeleistung absolut freiwillig, unentgeltlich und im Rahmen eines kulturellen und moralischen Freundschaftsdienstes geschehen sein soll. Insbesondere begründet dieser Umstand noch keine Ausnahme von der Bewilligungspflicht. Eine solche kommt höchstens in Fällen in Betracht, in denen die Arbeitsleistungen in Haushalt und/oder Familie durch nahe Verwandte vorgenommen werden und gerade wegen der verwandtschaftlichen und emotionalen Nähe der betreuenden zur betreuten Person nicht durch diejenige einer Drittperson ersetzt werden könnten, ohne dass der besondere Charakter der Tätigkeit verloren ginge (vgl. Urteil des BVGer C-1429/2013 vom 12. August 2013 E. 4.3 m.H.). Davon kann vorliegend bereits aufgrund des fehlenden verwandtschaftlichen Verhältnisses zwischen der Beschwerdeführerin und dem Kind ihrer Freundin nicht ausgegangen werden (vgl. dazu ausführlich Egli/Meyer, a.a.O., Art. 11 N. 8 sowie Spescha, a.a.O., Art. 11 AIG N 3).</w:t>
      </w:r>
    </w:p>
    <w:p>
      <w:r>
        <w:rPr>
          <w:b/>
        </w:rPr>
        <w:t>E. 6.4</w:t>
      </w:r>
    </w:p>
    <w:p>
      <w:r>
        <w:t>Nach dem Gesagten sieht es das Bundesverwaltungsgericht als erwiesen an, dass die Beschwerdeführerin im beschriebenen Umfang einer Erwerbstätigkeit im Sinne von Art. 11 Abs. 2 AIG nachgegangen ist. Wie aus Erwägung 4.3 hervorgeht, kann trotz Einstellung des Strafverfahrens grundsätzlich ein Einreiseverbot erlassen werden, auch wenn die Verwaltungsbehörde aus Gründen der Rechtseinheit und Rechtssicherheit nicht ohne Not von der Feststellung der Strafbehörden abweicht. Vorliegend hat die Staatsanwaltschaft das fragliche Verhalten der Beschwerdeführerin keiner umfassenden und eingehenden materiellen Prüfung unterzogen. Eine Bindungswirkung der Einstellungsverfügung vom 10. Mai 2019 beim Entscheid über eine Fernhaltemassnahme kann daher verneint werden; dies umso mehr, als die Strafbehörde auf den Aspekt des Kinderhütens - obwohl aktenkundig (vgl. Einvernahmeprotokoll der Kantonspolizei Solothurn vom 6. November 2018) - gar nicht erst eingegangen ist (zur Bindungswirkung von strafrechtlichen Einstellungsverfügungen ganz allgemein Urteil des BGer 2C_21/2019 vom 14. November 2019 E. 4.2.3.2 m.H.; vgl. auch Urteile des BVGer F-5128/2016 vom 14. August 2017 E. 4.5 und F-7521/2015 vom 20. Dezember 2016 E. 5.5).</w:t>
      </w:r>
    </w:p>
    <w:p>
      <w:r>
        <w:rPr>
          <w:b/>
        </w:rPr>
        <w:t>E. 7.1</w:t>
      </w:r>
    </w:p>
    <w:p>
      <w:r>
        <w:t>Es bleibt zu prüfen, ob die Massnahme in richtiger Ausübung des Ermessens ergangen und angemessen ist.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Die Beschwerdeführerin hat durch die Aufnahme nicht bewilligter Erwerbstätigkeiten gegen die öffentliche Sicherheit und Ordnung verstossen und damit hinreichenden Anlass für die Verhängung eines Einreiseverbots gegeben (Art. 67 Abs. 2 Bst. a AIG, Art. 77a Abs. 1 Bst. a VZAE). Sie lässt zwar einwenden, dass von ihr keine Gefährdung der öffentlichen Sicherheit und Ordnung mehr ausgehe. Das Einreiseverbot dient jedoch in einer Situation wie der vorliegenden ganz allgemein der Gefahrenabwehr durch Generalprävention im Sinne der Einwirkung auf andere Rechtsgenossen (vgl. Urteil des BVGer C-5232/2014 vom 18. März 2015 E. 4.2 m.H.). Dabei gilt es zu bedenken, dass den missachteten ausländerrechtlichen Normen im Interesse einer funktionierenden Rechtsordnung eine hohe Bedeutung zukommt, die es durch eine konsequente Massnahmepraxis zu schützen gilt. Tritt hinzu, dass aus dem bisherigen Verhalten der Beschwerdeführerin durchaus auf eine Gefährdung der öffentlichen Sicherheit und Ordnung zu schliessen ist, weshalb dem Einreiseverbot auch spezialpräventiver Charakter zukommt (vgl. anstelle vieler Urteil des BVGer F-1645/2016 vom 12. Januar 2017 E. 6.2 m.H.). Es besteht somit ein gewichtiges Interesse an der Fernhaltung der Beschwerdeführerin.</w:t>
      </w:r>
    </w:p>
    <w:p>
      <w:r>
        <w:rPr>
          <w:b/>
        </w:rPr>
        <w:t>E. 7.3</w:t>
      </w:r>
    </w:p>
    <w:p>
      <w:r>
        <w:t>Die von der Beschwerdeführerin geäusserten Interessen daran, weiterhin ohne besondere Restriktionen in die Schweiz einreisen zu können, beziehen sich lediglich auf deren (angeblich) geschäftliche Tätigkeit in der Schweiz, die jedoch - wie oben dargelegt - ohne Arbeitsbewilligung nicht möglich ist. Weitere (private) Interessen werden von ihr nicht geltend gemacht.</w:t>
      </w:r>
    </w:p>
    <w:p>
      <w:r>
        <w:rPr>
          <w:b/>
        </w:rPr>
        <w:t>E. 7.4</w:t>
      </w:r>
    </w:p>
    <w:p>
      <w:r>
        <w:t>Eine wertende Gewichtung der sich gegenüberstehenden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w:t>
      </w:r>
    </w:p>
    <w:p>
      <w:r>
        <w:rPr>
          <w:b/>
        </w:rPr>
        <w:t>E. 8</w:t>
      </w:r>
    </w:p>
    <w:p>
      <w:r>
        <w:t>Aus diesen Erwägungen ergibt sich, dass die angefochtene Verfügung im Lichte von Art. 49 VwVG nicht zu beanstanden ist. Die Beschwerde ist somit abzuweisen, womit das Gesuch um Wiederherstellung der aufschiebenden Wirkung der Beschwerde (vgl. Bst. H des Sachverhalts) gegenstandslos geworden ist.</w:t>
      </w:r>
    </w:p>
    <w:p>
      <w:r>
        <w:rPr>
          <w:b/>
        </w:rPr>
        <w:t>E. 9</w:t>
      </w:r>
    </w:p>
    <w:p>
      <w:r>
        <w:t>Entsprechend dem Ausgang des Verfahrens wird die unterliegende Beschwerdeführerin kostenpflichtig (vgl. Art. 63 Abs. 1 VwVG). Die Verfahrenskosten sind auf Fr. 1'000.- festzusetzen (Art. 1 ff. des Reglements vom 21. Februar 2008 über die Kosten und Entschädigungen vor dem Bundesverwaltungsgericht [VGKE, SR 173.320.2]). (Dispositiv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