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F-6904/2018 vom 22. November 2019</w:t>
      </w:r>
    </w:p>
    <w:p>
      <w:r>
        <w:t>Bundesverwaltungsgericht, 2019-11-22, DE</w:t>
      </w:r>
    </w:p>
    <w:p>
      <w:r>
        <w:rPr>
          <w:b/>
        </w:rPr>
        <w:t xml:space="preserve">Quelle: </w:t>
      </w:r>
      <w:r>
        <w:t>https://mcp.opencaselaw.ch/entscheid/bvger_F-6904_2018</w:t>
      </w:r>
    </w:p>
    <w:p>
      <w:r>
        <w:t>FR: TAF F-6904/2018 du 22 novembre 2019</w:t>
      </w:r>
    </w:p>
    <w:p>
      <w:r>
        <w:t>IT: TAF F-6904/2018 del 22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und so auch vorliegend - endgültig (Art. 83 Bst. d Ziff. 1 BGG). Das Verfahren richtet sich nach dem VwVG, dem VGG und dem BGG, soweit das AsylG nichts anderes bestimmt (Art. 37 VGG und Art. 6 AsylG).</w:t>
      </w:r>
    </w:p>
    <w:p>
      <w:r>
        <w:rPr>
          <w:b/>
        </w:rPr>
        <w:t>E. 1.2</w:t>
      </w:r>
    </w:p>
    <w:p>
      <w:r>
        <w:t>Für das vorliegende Verfahren gilt das bisherige Recht (vgl. Abs. 2 der Übergangsbestimmungen zur Änderung des AsylG vom 25. September 2015).</w:t>
      </w:r>
    </w:p>
    <w:p>
      <w:r>
        <w:rPr>
          <w:b/>
        </w:rPr>
        <w:t>E. 1.3</w:t>
      </w:r>
    </w:p>
    <w:p>
      <w:r>
        <w:t>Die Beschwerdeführenden sind als Verfügungsadressaten zur Beschwerde legitimiert (Art. 48 Abs. 1 VwVG). Auf die im Übrigen frist- und formgerecht eingereichte Beschwerde ist einzutreten (vgl. aArt. 108 Abs. 2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3.3</w:t>
      </w:r>
    </w:p>
    <w:p>
      <w:r>
        <w:t>Der nach dieser Verordnung zuständige Mitgliedstaat ist verpflichtet, die antragstellende Person, die in einem anderen Mitgliedstaat einen Antrag gestellt hat, nach Massgabe der Art. 21, 22 und 29 aufzunehmen (Art. 12 Abs. 2 und Art. 18 Abs. 1 Bst. a Dublin-III-VO). Die Dublin-III-VO räumt den Schutzsuchenden kein Recht ein, den ihren Antrag prüfenden Staat selber auszuwählen (vgl. BVGE 2010/45 E. 8.3).</w:t>
      </w:r>
    </w:p>
    <w:p>
      <w:r>
        <w:rPr>
          <w:b/>
        </w:rPr>
        <w:t>E. 3.4</w:t>
      </w:r>
    </w:p>
    <w:p>
      <w:r>
        <w:t>Die italienischen Behörden liessen das Übernahmeersuchen des SEM vom 4. September 2018 innert der festgelegten Frist zunächst unbeantwortet, womit sie ihre Zuständigkeit implizit anerkannten (vgl. Art. 22 Abs. 2 Dublin-III-VO). Die grundsätzliche Zuständigkeit Italiens ist somit gegeben und wird im Übrigen von den Beschwerdeführenden auch nicht bestritten. Ausserdem stimmten die italienischen Behörden dem Gesuch um Übernahme am 15. November 2018 nachträglich ausdrücklich zu (vgl. vorn Bst. D. und E.).</w:t>
      </w:r>
    </w:p>
    <w:p>
      <w:r>
        <w:rPr>
          <w:b/>
        </w:rPr>
        <w:t>E. 4.1</w:t>
      </w:r>
    </w:p>
    <w:p>
      <w:r>
        <w:t>Abweichend von Art. 3 Abs. 1 Dublin-III-VO kann jeder Mitgliedstaat im Rahmen des sogenannten Selbsteintrittsrechts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4.2</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5.1</w:t>
      </w:r>
    </w:p>
    <w:p>
      <w:r>
        <w:t>Die Vorinstanz begründet ihren Entscheid einerseits damit, dass kein Grund für die Annahme bestehe, das Asylverfahren und die Aufnahmebedingungen in Italien würden systemische Mängel aufweisen. Es gebe keine Hinweise darauf, dass Italien seinen internationalen Verpflichtungen nicht nachkomme. Gemäss Zirkularschreiben der italienischen Behörden vom 2. Februar 2015, vom 15. April 2015 und vom 8. Juni 2015 seien in Italien spezielle Zentren (SPRAR) für die Unterbringung von Familien mit Kindern vorgesehen (SEM-act. A20). Nach einer Gesetzesänderung vom 6. Dezember 2018 sei das System SPRAR, welches neu SIPROIMI («Sistema di protezione per titolari di protezione internazionale e per minori stranierei non accompagnati») heisse, inskünftig für die Begünstigten internationalen Schutzes, für unbegleitete Minderjährige sowie Personen mit einer neuen humanitären Aufenthaltsbewilligung reserviert. Die italienischen Behörden hätten in einem Zirkularschreiben vom 8. Januar 2019 zugesichert, dass die Anforderungen für eine adäquate Aufnahme sämtlicher Rückkehrer im Dublin-Verfahren sowie die Wahrung der Grundrechte, namentlich der Familieneinheit sowie des Schutzes der Minderjährigen, auch in Zukunft erfüllt seien. Am 14. Januar 2019 habe das italienische Dublin Office zudem bestätigt, dass früher ausgestellte Zustimmungen betreffend die Unterbringung von Familien weiter gültig und die Aufnahme gemäss dem Rundschreiben vom 8. Januar 2019 garantiert seien. Damit komme Italien auch nach Inkrafttreten der auf das «Salvini-Dekret» zurückgehenden Gesetzesänderungen seinen Verpflichtungen nach, die sich aus dem Urteil Tarakhel (Urteil des EGMR Tarakhel vs. Schweiz vom 4. November 2014, Nr. 29217/12) sowie der bundesverwaltungsgerichtlichen Rechtsprechung ergeben würden (Einholung von Garantien seitens Italien, dass Familien mit minderjährigen Kindern bei einer Überstellung nicht getrennt werden und Gewährleistung einer kindergerechten Unterbringung). Die italienischen Behörden hätten in ihrer Antwort vom 15. November 2018 zu erkennen gegeben, dass sie die Beschwerdeführenden als Kernfamilie betrachteten, die in einer geeigneten, dem Alter des Kindes gerecht werdenden Aufnahmestruktur untergebracht würden. Schliesslich habe sich die Aufnahmesituation in Italien insgesamt erheblich verbessert. Die Anzahl der verfügbaren freien Plätze im Aufnahmesystem zeige, dass das Risiko für Rückkehrende im Dublin-Verfahren, keine Unterbringungsmöglichkeit vorzufinden, nicht bestehe (vgl. zum Ganzen BVGer-act. 9; 20).</w:t>
      </w:r>
    </w:p>
    <w:p>
      <w:r>
        <w:rPr>
          <w:b/>
        </w:rPr>
        <w:t>E. 6</w:t>
      </w:r>
    </w:p>
    <w:p>
      <w:r>
        <w:t>Die Beschwerdeführenden machen demgegenüber geltend, nach Erlass des «Salvini-Dekrets» seien die SPRAR geschlossen worden, ohne dass klar sei, wie die neuen Aufnahmestrukturen ausgestaltet würden. Sowohl die politische als auch die finanzielle Lage Italiens sei höchst instabil und der Rechtszugang im Asyl- und Wegweisungsverfahren nur mangelhaft. Zudem sei die Behinderung der Beschwerdeführerin 3 zu berücksichtigen. Dieser (...) seit Geburt (...). Die Vorinstanz habe diesbezüglich jedoch nicht abgeklärt, ob eine Überstellung nach Italien mit dem Kindeswohl gemäss dem Übereinkommen vom 20. November 1989 über die Rechte des Kindes (nachfolgend KRK, SR 0.107) sowie dem Übereinkommen über die Rechte von Menschen mit Behinderungen vom 13. Dezember 2006 (SR 0.109) vereinbar sei. Dem Kind würde in Italien aufgrund seiner Behinderung Diskriminierung drohen und eine adäquate Entwicklung als körperlich eingeschränkter Mensch verwehrt bleiben. Eine Überstellung nach Italien würde gegen Art. 3 EMRK verstossen, da die Schweiz nicht sichergestellt habe, dass die Beschwerdeführenden dort nach der Aufhebung der SPRAR entsprechend den Anforderungen des Völkerrechts untergebracht würden. Die Vorinstanz hätte daher die Ausübung des Selbsteintrittsrechts prüfen müssen (BVGer-act. 1; 5; 22).</w:t>
      </w:r>
    </w:p>
    <w:p>
      <w:r>
        <w:rPr>
          <w:b/>
        </w:rPr>
        <w:t>E. 7.1</w:t>
      </w:r>
    </w:p>
    <w:p>
      <w:r>
        <w:t>Nach einer Umstrukturierung des italienischen Asylwesens werden Familien und andere verletzliche Personen (ausgenommen unbegleitete Minderjährige), die keinen internationalen Schutz geniessen, nur noch in den Erstaufnahmezentren und Notaufnahmezentren untergebracht (vgl. Asylum Info Database [AIDA], Country Report Italy, Update 2018, S. 56, abrufbar unter https://www.asylumineurope.org/sites/default/files/report-download/aida_it_2018update.pdf; zuletzt abgerufen im November 2019). Bei den Beschwerdeführenden handelt es sich um ein Paar mit einem vierjährigen Kleinkind. Als solche gehören sie seit den auf das «Salvini-Dekret» erfolgten Gesetzesänderungen nicht mehr zu den Personengruppen, welche Anspruch auf Zuteilung in einem SPRAR- bzw. SIPROIMI-Zentrum haben. Die Zusicherung des italienischen Innenministeriums («nucleo familiare» vom 15. November 2018; SEM-act. A18) vermag nach dem Gesagten die Zweifel, ob sie einer adäquaten Unterbringung zugeführt werden, nicht auszuräumen (vgl. zuletzt Urteil des BVGer F-2438/2019 vom 24. September 2019 E. 6.1; F-4090/2019 vom 22. August 2019 E. 6.3-6.5 m.H. auf Urteil D-1214/2019 vom 1. April 2019 E. 5.5). Vor diesem Hintergrund hätte die Vorinstanz prüfen müssen, ob es angezeigt ist, die Souveränitätsklausel aus humanitären Gründen anzuwenden. Zwar führt sie in der angefochtenen Verfügung im Zusammenhang mit der Souveränitätsklausel allgemein gehaltene, textbausteinartige Erwägungen an. Die Vorinstanz hat sich jedoch nicht konkret und auf den vorliegenden Einzelfall bezogen mit dem vorrangig zu beachtenden Kindeswohl und den im Hinblick auf Italien bestehenden Unsicherheiten bezüglich der konkreten Unterbringungsmodalitäten von Familien mit minderjährigen Kindern sowie deren Vereinbarkeit mit dem Völkerrecht auseinandergesetzt.</w:t>
      </w:r>
    </w:p>
    <w:p>
      <w:r>
        <w:rPr>
          <w:b/>
        </w:rPr>
        <w:t>E. 7.2</w:t>
      </w:r>
    </w:p>
    <w:p>
      <w:r>
        <w:t>Zusammenfassend hat die Vorinstanz den Sachverhalt im Hinblick auf die Anwendung der Souveränitätsklausel nicht rechtsgenüglich abgeklärt. Zudem ist sie ihrer Pflicht zur Ermessensausübung nicht nachgekommen und hat mithin ihr Ermessen unterschritten. Sie hätte, wie zuvor ausgeführt, in nachvollziehbarer und auf den vorliegenden Einzelfall bezogener Weise prüfen müssen, ob es in Würdigung der konkreten Umstände tatsächlich angezeigt ist, auf einen Selbsteintritt zu verzichten.</w:t>
      </w:r>
    </w:p>
    <w:p>
      <w:r>
        <w:rPr>
          <w:b/>
        </w:rPr>
        <w:t>E. 8</w:t>
      </w:r>
    </w:p>
    <w:p>
      <w:r>
        <w:t>Die Beschwerde erweist sich im Eventualantrag als begründet. Da das Bundesverwaltungsgericht aufgrund der Kognitionsbeschränkung infolge Aufhebung von aArt. 106 Abs. 1 Bst. c AsylG keinen Ermessensentscheid anstelle der Vorinstanz treffen kann und es sich bei der Ermessensüberschreitung um eine Rechtsverletzung handelt (vgl. BGE 132 V 393 E. 3.3), ist die Beschwerde gutzuheissen, die Verfügung vom 8. Mai 2019 aufzuheben und die Sache zur umfassenden Prüfung der Anwendung der Souveränitätsklausel - in Ausübung des gesetzeskonformen Ermessens - an die Vorinstanz zurückzuweisen.</w:t>
      </w:r>
    </w:p>
    <w:p>
      <w:r>
        <w:rPr>
          <w:b/>
        </w:rPr>
        <w:t>E. 9</w:t>
      </w:r>
    </w:p>
    <w:p>
      <w:r>
        <w:t>Bei diesem Ausgang des Verfahrens sind keine Kosten zu erheben (Art. 63 Abs. 1 und 2 VwVG). Den obsiegenden Beschwerdeführenden ist zulasten der Vorinstanz eine angemessene Parteientschädigung zuzusprechen (vgl. Art. 64 Abs. 1 und 2 VwVG i.V.m. Art. 7 des Reglements vom 21. Februar 2008 über die Kosten und Entschädigungen vor dem Bundesverwaltungsgericht ([VGKE, SR 173.320.2]). Mangels Vorliegen einer Kostennote ist deren Höhe gemäss Art. 14 Abs. 2 Satz 2 VGKE auf Grund der Akten festzusetzen. In Berücksichtigung des Umfangs und der Notwendigkeit der Eingaben erscheinen Fr. 1'200.-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