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F-68/2024 vom 10. Januar 2024</w:t>
      </w:r>
    </w:p>
    <w:p>
      <w:r>
        <w:t>Bundesverwaltungsgericht, 2024-01-10, DE</w:t>
      </w:r>
    </w:p>
    <w:p>
      <w:r>
        <w:rPr>
          <w:b/>
        </w:rPr>
        <w:t xml:space="preserve">Quelle: </w:t>
      </w:r>
      <w:r>
        <w:t>https://mcp.opencaselaw.ch/entscheid/bvger_F-68_2024</w:t>
      </w:r>
    </w:p>
    <w:p>
      <w:r>
        <w:t>FR: TAF F-68/2024 du 10 janvier 2024</w:t>
      </w:r>
    </w:p>
    <w:p>
      <w:r>
        <w:t>IT: TAF F-68/2024 del 10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2.2</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und Art. 17 Abs. 2 Dublin-III-VO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Ein Abgleich der Fingerabdrücke des Beschwerdeführers mit Eurodac ergab, dass er am 30. August 2023 in Kroatien um Asyl ersucht hatte, weshalb das SEM die kroatischen Behörden am 8. September 2023 um Wiederaufnahme des Beschwerdeführers gestützt auf Art. 18 Abs. 1 Bst. b Dublin-III-VO ersucht hat. Diese haben das Gesuch am 22. September 2023 gutgeheissen.</w:t>
      </w:r>
    </w:p>
    <w:p>
      <w:r>
        <w:rPr>
          <w:b/>
        </w:rPr>
        <w:t>E. 4.2</w:t>
      </w:r>
    </w:p>
    <w:p>
      <w:r>
        <w:t>Gemäss Art. 23 Abs. 4 Dublin-III-VO ist für ein Wiederaufnahmegesuch ein Standardformblatt zu verwenden, das Beweismittel oder Indizien im Sinne der beiden Verzeichnisse nach Art. 22 Absatz 3 Dublin-III-VO und/oder sachdienliche Angaben aus der Erklärung der betroffenen Person enthalten muss, anhand deren die Behörden des ersuchten Mitgliedstaats prüfen können, ob ihr Staat auf Grundlage der in dieser Verordnung festgelegten Kriterien zuständig ist.</w:t>
      </w:r>
    </w:p>
    <w:p>
      <w:r>
        <w:rPr>
          <w:b/>
        </w:rPr>
        <w:t>E. 4.3</w:t>
      </w:r>
    </w:p>
    <w:p>
      <w:r>
        <w:t>Das SEM hat die kroatischen Behörden in seinem Wiederaufnahmeersuchen nicht informiert, dass der Beschwerdeführer zusammen mit seinem Bruder in der Schweiz um Asyl ersucht hat und sich hier mit ihm aufhält. Ferner hat es die jeweiligen Wiederaufnahmeersuchen in einem Abstand von zwei Monaten gestellt, obwohl der Beschwerdeführer und sein Bruder gleichentags in die Schweiz eingereist sind und um Asyl ersucht haben.</w:t>
      </w:r>
    </w:p>
    <w:p>
      <w:r>
        <w:rPr>
          <w:b/>
        </w:rPr>
        <w:t>E. 4.4</w:t>
      </w:r>
    </w:p>
    <w:p>
      <w:r>
        <w:t>Das Bundesverwaltungsgericht hat bereits im Urteil D-1787/2013 vom 8. August 2013 (bezüglich Art. 17 Abs. 3 Dublin-II-VO) festgehalten, ein mit dem Formblatt gestelltes Übernahmeersuchen müsse alle Informationen enthalten, anhand derer die Behörden des ersuchten Staats prüfen können, ob ihr Staat gemäss den in der Verordnung definierten Kriterien zuständig sei (E. 5). Dies gilt auch in Bezug auf Art. 23 Abs. 4 Dublin-III-VO (vgl. Urteile D-6935/2016 vom 24. Januar 2017 E. 5.3, F-1696/2019 vom 10. Mai 2019 E. 7.2 und F-6030/2020 vom 8. Dezember 2020 E. 5.4). Mit der Informationspflicht gemäss Art. 22 Dublin-III-VO soll der ersuchte Mitgliedstaat in die Lage versetzt werden zu prüfen, ob er gemäss der Dublin-III-VO zuständig ist. Das SEM wäre somit - insbesondere vor dem Hintergrund von Art. 17 Abs. 2 Dublin-III-VO - gemäss Art. 23 Abs. 4 Dublin-III-VO verpflichtet gewesen, den kroatischen Behörden mitzuteilen, dass der Beschwerdeführer zusammen mit seinem Bruder in der Schweiz um Asyl ersucht hat und dieser sich hier aufhält.</w:t>
      </w:r>
    </w:p>
    <w:p>
      <w:r>
        <w:rPr>
          <w:b/>
        </w:rPr>
        <w:t>E. 4.5</w:t>
      </w:r>
    </w:p>
    <w:p>
      <w:r>
        <w:t>Zusammenfassend ist festzuhalten, dass das SEM die kroatischen Behörden auf wesentliche sachdienliche Angaben aus der Erklärung des Beschwerdeführers Person nicht hingewiesen und damit Art. 23 Abs. 4 Dublin-III-VO verletzt hat.</w:t>
      </w:r>
    </w:p>
    <w:p>
      <w:r>
        <w:rPr>
          <w:b/>
        </w:rPr>
        <w:t>E. 5</w:t>
      </w:r>
    </w:p>
    <w:p>
      <w:r>
        <w:t>Die Beschwerde ist daher gutzuheissen, die angefochtene Verfügung aufzuheben und die Sache zur Behebung des Verfahrensmangels und Neubeurteilung der Zuständigkeit an die Vorinstanz zurückzuweisen. Diese wird ein neues Wiederaufnahmegesuch an die kroatischen Behörden zu stellen und diesen mitzuteilen haben, dass der Beschwerdeführer zusammen mit seinem Bruder (N [...]) in der Schweiz um Asyl ersucht hat und dieser hier vorläufig aufgenommen wurde.</w:t>
      </w:r>
    </w:p>
    <w:p>
      <w:r>
        <w:rPr>
          <w:b/>
        </w:rPr>
        <w:t>E. 6.1</w:t>
      </w:r>
    </w:p>
    <w:p>
      <w:r>
        <w:t>Bei diesem Ausgang des Verfahrens sind dem Beschwerdeführer keine Kosten aufzuerlegen (Art. 63 Abs. 1 VwVG). Das Gesuch um Gewährung der unentgeltlichen Rechtspflege (Art. 65 Abs. 1 und 2 VwVG) ist gegenstandslos geworden.</w:t>
      </w:r>
    </w:p>
    <w:p>
      <w:r>
        <w:rPr>
          <w:b/>
        </w:rPr>
        <w:t>E. 6.2</w:t>
      </w:r>
    </w:p>
    <w:p>
      <w:r>
        <w:t>Der Beschwerdeführer wäre für die ihm erwachsenen notwendigen Kosten zu entschädigen (Art. 64 Abs. 1 und 2 VwVG; Art. 7 ff. des Reglements vom 21. Februar 2008 über die Kosten und Entschädigungen vor dem Bundesverwaltungsgericht [VGKE, SR 173.320.2]). Es ist jedoch nicht davon auszugehen, dass ihm - der nicht anwaltlich vertreten ist - aus dem vorliegenden Verfahren Kosten im Sinne der massgeblichen Bestimmungen entstanden sind. Deshalb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