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F-6883/2024 vom 11. November 2024</w:t>
      </w:r>
    </w:p>
    <w:p>
      <w:r>
        <w:t>Bundesverwaltungsgericht, 2024-11-11, DE</w:t>
      </w:r>
    </w:p>
    <w:p>
      <w:r>
        <w:rPr>
          <w:b/>
        </w:rPr>
        <w:t xml:space="preserve">Quelle: </w:t>
      </w:r>
      <w:r>
        <w:t>https://mcp.opencaselaw.ch/entscheid/bvger_F-6883_2024</w:t>
      </w:r>
    </w:p>
    <w:p>
      <w:r>
        <w:t>FR: TAF F-6883/2024 du 11 novembre 2024</w:t>
      </w:r>
    </w:p>
    <w:p>
      <w:r>
        <w:t>IT: TAF F-6883/2024 del 11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Behandlung der Asylgesuche der Beschwerdeführerinnen zuständig ist, dass das kroatische Asylsystem rechtsprechungsgemäss keine systemischen Schwachstellen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Dabei hat sie insbesondere die Vorbringen der Beschwerdeführerinnen im Hinblick auf das geltend gemachte Fehlverhalten einzelner kroatischer Sicherheitskräfte berücksichtigt und rechtsprechungskonform gewürdigt (vgl. jüngst Urteile des BVGer F-5644/2024 vom 1. Oktober 2024 E. 5.2; E-5359/2024 vom 4. September 2024 E. 6.2).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der Beschwerdeführerin nicht eingetreten und hat in Anwendung von Art. 44 AsylG ihre Wegweisung nach Kroatien angeordnet. Zur näheren Begründung wird auf die Erwägungen der Vorinstanz verwiesen.</w:t>
      </w:r>
    </w:p>
    <w:p>
      <w:r>
        <w:rPr>
          <w:b/>
        </w:rPr>
        <w:t>E. 2.2</w:t>
      </w:r>
    </w:p>
    <w:p>
      <w:r>
        <w:t>Was die vertretenen Beschwerdeführerinnen auf Rechtsmittelebene vorbringen, vermag nichts an der Richtigkeit der angefochtenen Verfügung zu ändern. Die in der Beschwerde zitierten Berichte betreffend die Situation von Asylsuchenden in Kroatien vermögen nichts daran zu ändern, dass das kroatische Asylsystem rechtsprechungsgemäss keine systemischen Schwachstellen aufweist und insgesamt davon auszugehen ist, dass Gesuchstellende, welche gestützt auf die Dublin-III-VO nach Kroatien überstellt werden, Zugang zum dortigen Asylverfahren erhalten (vgl. E. 2.1 hiervor). Betreffend ihre gesundheitliche Situation bringen die Beschwerdeführerinnen unsubstantiiert vor, dass sie auf medizinische Behandlung angewiesen seien. Dabei verweisen sie auf in den Akten nicht vorhandene Arztberichte. Der einzige in den Akten tatsächlich vorhandene Arztbericht bestätigt dagegen die Feststellung der Vorinstanz, wonach die Beschwerdeführerinnen an keinen gesundheitlichen Beeinträchtigungen leiden. Diesbezüglich ist ergänzend darauf hinzuweisen, dass Kroatien über eine ausreichende medizinische Infrastruktur verfügt (statt vieler: Urteil des BVGer F-4895/2024 vom 12. August 2024 E. 5.6). Im Weiteren ist in Bezug auf die unsubstantiierten und den im Rahmen des Dublin-Gesprächs vom 15. Oktober 2024 getroffenen Aussagen widersprechenden Vorbringen betreffend angebliche Misshandlungen in Kroatien anzumerken, dass Kroatien Signatarstaat der EMRK und des Übereinkommens vom 10. Dezember 1984 gegen Folter und andere grausame, unmenschliche oder erniedrigende Behandlung oder Strafe (FoK, SR 0.105) ist und die diesbezüglichen völkerrechtlichen Verpflichtungen zu beachten hat. Schliesslich ist betreffend das Kindswohl festzuhalten, dass die Beschwerdeführerin 2 im Alter von vier Monaten aufgrund ihres sehr jungen Alters beziehungsmässig offenkundig von ihrer Mutter abhängig ist und angesichts der kurzen Aufenthaltsdauer in der Schweiz hier nicht verwurzelt ist. Mutter und Tochter werden gemeinsam nach Kroatien überstellt und es liegen keinerlei Hinweise dafür vor, dass sie in Kroatien getrennt würden.</w:t>
      </w:r>
    </w:p>
    <w:p>
      <w:r>
        <w:rPr>
          <w:b/>
        </w:rPr>
        <w:t>E. 3</w:t>
      </w:r>
    </w:p>
    <w:p>
      <w:r>
        <w:t>Nach dem Gesagten ist die angefochtene Verfügung nicht zu beanstanden (Art. 106 AsylG) und die Beschwerde ist abzuweisen. Mit dem vorliegenden Urteil fällt der am 4. November 2024 angeordnete Vollzugsstopp dahin. Das Gesuch um Verzicht auf Erhebung eines Kostenvorschusses ist mit heutigem Entscheid gegenstandslos geworden.</w:t>
      </w:r>
    </w:p>
    <w:p>
      <w:r>
        <w:rPr>
          <w:b/>
        </w:rPr>
        <w:t>E. 4</w:t>
      </w:r>
    </w:p>
    <w:p>
      <w:r>
        <w:t>Das Gesuch um Gewährung der unentgeltlichen Prozessführung (Art. 65 Abs. 1 und 2 VwVG) ist abzuweisen, da die Begehren - wie sich aus den vorstehenden Erwägungen ergibt - von vornherein als aussichtslos zu bezeichnen waren. Entsprechend sind die Verfahrenskosten den unterliegenden Beschwerdeführerinnen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