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F-687/2025 vom 14. Februar 2025</w:t>
      </w:r>
    </w:p>
    <w:p>
      <w:r>
        <w:t>Bundesverwaltungsgericht, 2025-02-14, DE</w:t>
      </w:r>
    </w:p>
    <w:p>
      <w:r>
        <w:rPr>
          <w:b/>
        </w:rPr>
        <w:t xml:space="preserve">Quelle: </w:t>
      </w:r>
      <w:r>
        <w:t>https://mcp.opencaselaw.ch/entscheid/bvger_F-687_2025</w:t>
      </w:r>
    </w:p>
    <w:p>
      <w:r>
        <w:t>FR: TAF F-687/2025 du 14 février 2025</w:t>
      </w:r>
    </w:p>
    <w:p>
      <w:r>
        <w:t>IT: TAF F-687/2025 del 14 febbraio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Beschwerdeführenden sind zur Einreichung der Beschwerde legi- timiert (Art. 48 Abs. 1 VwVG). Auf die frist- und formgerecht eingereichte Beschwerde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 zuletzt Urteil des BVGer F-7843/2024 vom 3. Februar 2025 E. 3.1).</w:t>
      </w:r>
    </w:p>
    <w:p>
      <w:r>
        <w:rPr>
          <w:b/>
        </w:rPr>
        <w:t>E. 2.2</w:t>
      </w:r>
    </w:p>
    <w:p>
      <w:r>
        <w:t>Flüchtlinge mit rechtmässigem Aufenthalt in der Schweiz haben das Recht, ihren Aufenthaltsort zu wählen und sich frei zu bewegen – vorbe- haltlich der Bestimmungen, die unter den gleichen Umständen für auslän- dische Personen im Allgemeinen gelten (vgl. 26 FK und Art. 58 AsylG; BVGE 2012/2 E. 3.2.2). Art. 26 FK zielt darauf ab, die Einschränkungen der freien Wahl des Aufenthaltsortes und der Bewegungsfreiheit für</w:t>
      </w:r>
    </w:p>
    <w:p>
      <w:r>
        <w:t>F-687/2025 Seite 4 Flüchtlinge auf ein Minimum zu beschränken. Zulässig sind nur einschrän- kende Bestimmungen, welche für sämtliche Kategorien von ausländischen Personen gelten. Abzustellen ist mithin auf diejenigen Einschränkungen, welche auf ausländische Personen mit einer Niederlassungsbewilligung anwendbar sind. Nach konstanter Rechtsprechung begründet Art. 26 FK für Flüchtlinge somit einen Anspruch auf Kantonszuweisung beziehungs- weise -wechsel in gleichem Umfange, wie er einer niedergelassenen Per- son gestützt auf Art. 37 Abs. 3 AIG zusteht (vgl. BVGE 2012/2 E. 5.2.2; zum Ganzen statt vieler Urteile des BVGer F-7843/2024 vom 3. Februar 2025 E. 3.2; F-270/2025 vom 23. Januar 2025 E. 2.2; F-1642/2024 vom 16. Mai 2024 E. 3.1 je m.w.H.). Nach Massgabe dieser Bestimmung be- steht ein Anspruch auf Kantonswechsel, sofern nicht Widerrufsgründe nach Art. 63 AIG vorliegen und sich eine darauf gestützte Verweigerung als verhältnismässig erweist (vgl. Botschaft zum Bundesgesetz über die Aus- länderinnen und Ausländer vom 8. März 2002 [nachfolgend: Botschaft] BBl 2002 3790.)</w:t>
      </w:r>
    </w:p>
    <w:p>
      <w:r>
        <w:rPr>
          <w:b/>
        </w:rPr>
        <w:t>E. 2.3</w:t>
      </w:r>
    </w:p>
    <w:p>
      <w:r>
        <w:t>Nachdem ihnen die Vorinstanz am 24. Januar 2025 die Flüchtlingseigenschaft zuerkannte, haben die Beschwerdeführenden grundsätzlich einen Anspruch auf Wahl ihres Aufenthaltsorts und Zuweisung in den von ihnen anbegehrten Kanton. Vorbehalten bleibt das Vorliegen von Widerrufsgründen nach Art. 63 AIG (vgl. Art. 37 Abs. 3 AIG i.V.m. Art. 58 AsylG, Art. 26 i.V.m. Art. 6 FK; E. 2.2 hiervor). Die Vorinstanz hat sich in den angefochtenen Verfügungen mit der Rechtsstellung der Beschwerdeführenden als Flüchtlinge und ihrem Anspruch auf Zuweisung in den anbegehrten Kanton nicht auseinandergesetzt. Ausserdem hat sie nicht geprüft, ob einer Zuweisung der Beschwerdeführenden in den Kanton St. Gallen Widerrufsgründe im Sinne von Art. 63 AIG entgegenstehen könnten. Insofern erweist sich der rechtserhebliche Sachverhalt als unvollständig abgeklärt und die Vorinstanz hat ihre dahingehende Pflicht verletzt (Art. 6 AsylG i.V.m. Art. 12 VwVG; Art. 49 Bst. b VwVG; siehe auch Urteile des BVGer F-7357/2024 vom 6. Januar 2025 E. 2.4; F-7070/2024 vom 26. November 2024 E. 2.3; F-6638/2024 vom 25. November 2024 E. 2.3).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w:t>
      </w:r>
    </w:p>
    <w:p>
      <w:r>
        <w:t>F-687/2025 Seite 5 2020 VII/6 E. 12.6; 2015/30 E. 8.1). Vorliegend lässt sich die Entschei- dungsreife nicht mit geringem Aufwand herstellen (vgl. nachfolgend E. 3), weshalb die Sache an die Vorinstanz zurückzuweisen ist.</w:t>
      </w:r>
    </w:p>
    <w:p>
      <w:r>
        <w:rPr>
          <w:b/>
        </w:rPr>
        <w:t>E. 3</w:t>
      </w:r>
    </w:p>
    <w:p>
      <w:r>
        <w:t>Die Beschwerde ist gutzuheissen. Dispositiv-Ziffer 3 der angefochtenen Verfügung betreffend die Beschwerdeführerin 2 und Dispositiv-Ziffer 4 der angefochtenen Verfügung betreffend die Beschwerdeführer 1 und 3 sind aufzuheben und die Sache zur vollständigen Sachverhaltsabklärung im Sinne der Erwägungen sowie zur neuen Entscheidung an die Vorinstanz zurückzuweisen. Diese wird insbesondere abzuklären haben, ob einer Zu- weisung der Beschwerdeführenden in den Kanton St. Gallen Widerrufs- gründe im Sinne von Art. 63 AIG entgegenstehen und, falls ja, ob sich eine darauf gestützte Verweigerung als verhältnismässig erweist.</w:t>
      </w:r>
    </w:p>
    <w:p>
      <w:r>
        <w:rPr>
          <w:b/>
        </w:rPr>
        <w:t>E. 4.1</w:t>
      </w:r>
    </w:p>
    <w:p>
      <w:r>
        <w:t>Bei diesem Ausgang des Verfahrens sind keine Kosten zu erheben (Art. 63 Abs. 1 und 2 VwVG).</w:t>
      </w:r>
    </w:p>
    <w:p>
      <w:r>
        <w:rPr>
          <w:b/>
        </w:rPr>
        <w:t>E. 4.2</w:t>
      </w:r>
    </w:p>
    <w:p>
      <w:r>
        <w:t>Eine Parteientschädigung ist den Beschwerdeführenden trotz ihres Ob- siegens nicht auszurichten, da es sich vorliegend um eine zugewiesene unentgeltliche Rechtsvertretung im Sinne von Art. 102h AsylG handelt, de- ren Leistungen vom Bund nach Massgabe von Art. 102k AsylG entschädigt werden (vgl. auch Art. 111ater AsylG).</w:t>
      </w:r>
    </w:p>
    <w:p>
      <w:r>
        <w:rPr>
          <w:b/>
        </w:rPr>
        <w:t>E. 5</w:t>
      </w:r>
    </w:p>
    <w:p>
      <w:r>
        <w:t>Dieses Urteil ist endgültig (Art. 83 Bst. d Ziff. 1 BGG). (Dispositiv nächste Seite)</w:t>
      </w:r>
    </w:p>
    <w:p>
      <w:r>
        <w:t>F-687/2025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