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F-6874/2024 vom 11. November 2024</w:t>
      </w:r>
    </w:p>
    <w:p>
      <w:r>
        <w:t>Bundesverwaltungsgericht, 2024-11-11, DE</w:t>
      </w:r>
    </w:p>
    <w:p>
      <w:r>
        <w:rPr>
          <w:b/>
        </w:rPr>
        <w:t xml:space="preserve">Quelle: </w:t>
      </w:r>
      <w:r>
        <w:t>https://mcp.opencaselaw.ch/entscheid/bvger_F-6874_2024</w:t>
      </w:r>
    </w:p>
    <w:p>
      <w:r>
        <w:t>FR: TAF F-6874/2024 du 11 novembre 2024</w:t>
      </w:r>
    </w:p>
    <w:p>
      <w:r>
        <w:t>IT: TAF F-6874/2024 del 11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1.3</w:t>
      </w:r>
    </w:p>
    <w:p>
      <w:r>
        <w:t>Die Beschwerde ist zulässig (Art. 105 AsylG; Art. 31 ff. VGG). Die übrigen Sachurteilsvoraussetzungen (Legitimation [Art. 48 Abs. 1 VwVG], Frist [Art. 108 Abs. 3 AsylG] und Form [Art. 52 Abs. 1 VwVG]) sind erfüllt. Angesichts der Tatsache, dass trotz des Verschwindens des Beschwerdeführers am 29. Oktober 2024 dieser in der Lage war, am 31. Oktober 2024 eine Vollmacht zugunsten seiner Rechtsvertreterin zu unterschreiben (vgl. Beschwerde vom 1. November 2024 [Beschwerde], Beilage 1), kann auf ein bestehendes schutzwürdiges Interesse gemäss Art. 48 Abs. 1 Bst. c VwVG geschlossen werden.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In formeller Hinsicht rügt der Beschwerdeführer, dass die Vorinstanz ihre Pflicht zur vollständigen und richtigen Sachverhaltsermittlung (Art. 12 VwVG i.V.m. Art. 6 AslyG) verletzt habe. Die Vorinstanz habe die von den bulgarischen Beamten aufgrund ihrer Gewaltbereitschaft ausgehende Gefahr sowie die allgemein schlechten Bedingungen für Asylsuchende in Bulgarien nicht ausreichend berücksichtigt. Ferner seien die gesundheitlichen Beeinträchtigungen des Beschwerdeführers nicht beachtet worden: er leide unter starken Ängsten und Schlafstörungen. In diesem Zusammenhang deutet der Beschwerdeführer an, dass auch eine Verletzung des rechtlichen Gehörs festzustellen sei (Art. 6 AsylG i.V.m. Art. 29 VwVG). Das SEM hat sich indes intensiv mit den Vorbringen des Beschwerdeführers auseinandergesetzt. Der gute psychische und physische Gesundheitszustand des Beschwerdeführers konnte durch den Arztbericht von (...) vom 14. Oktober 2024 bestätigt werden (vgl. SEM-Akte 20/1). Da der Beschwerdeführer im Rahmen des Dublin-Gesprächs angab, keine gesundheitlichen Probleme zu haben und sich in einem ausgezeichneten psychischen Zustand zu befinden (vgl. SEM-Akte 13/3), gab es keinen Grund, diesbezüglich weitere Ermittlungen anzustellen. Hinsichtlich der Aufnahmebedingungen in Bulgarien verwies die Vorinstanz klar und umfassend auf die geltende Rechtslage und Rechtsprechung. Im vorliegenden Fall konnte die vom Beschwerdeführer behauptete Misshandlung durch bulgarische Polizeibeamte (Angriff mit Hunden, Schläge) nicht rechtsgenügend belegt werden. Schliesslich überprüfte die Vorinstanz die Anwesenheit der Mutter und seiner weiteren Verwandten in der Schweiz im Zusammenhang mit allfälligen Ansprüchen nach Art. 16 Abs. 1 Dublin-III-VO. Somit konnte die Sach- und Rechtslage vollumfänglich festgestellt werden. Die formellen Rügen des Beschwerdeführers sind unbegründet, weshalb das Eventualbegehren abzuweisen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deren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w:t>
      </w:r>
    </w:p>
    <w:p>
      <w:r>
        <w:rPr>
          <w:b/>
        </w:rPr>
        <w:t>E. 4.4</w:t>
      </w:r>
    </w:p>
    <w:p>
      <w:r>
        <w:t>Ein Abgleich der Fingerabdrücke des Beschwerdeführers ergab, dass er am 14. Oktober 2024 in Bulgarien daktyloskopisch erfasst worden war. Gleichentags stellte er gemäss Auszug aus der «Eurodac»-Datenbank sein Asylgesuch (SEM-Akte 7/1). Die Vorinstanz ersuchte daher die bulgarischen Behörden am 3. Oktober 2024 um Wiederaufnahme des Beschwerdeführers gestützt auf Art. 18 Abs. 1 Bst. b Dublin-III-VO. Diese stimmten dem Wiederaufnahmeersuchen der Vorinstanz am 7. Oktober 2024 fristgerecht zu (Art. 25 Abs. 1 Dublin-III-VO). Die grundsätzliche Zuständigkeit Bulgariens ist somit gegeben.</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Bulgarien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5.3</w:t>
      </w:r>
    </w:p>
    <w:p>
      <w:r>
        <w:t>Gemäss ständiger Rechtsprechung des Bundesverwaltungsgerichts weisen das Asylverfahren und die Aufnahmebedingungen in Bulgarien keine systemischen Schwachstellen im Sinne von Art. 3 Abs. 2 zweiter und dritter Satz Dublin-III-VO auf (Referenzurteil des BVGer E-7195/2018 vom 11. Februar 2020 E. 6.6.7). Demnach sind Dublin-Überstellungen nach Bulgarien grundsätzlich sowohl in "take-charge" (Aufnahme) als auch in "take-back" (Wiederaufnahme) Verfahren zulässig. Das Bundesverwaltungsgericht anerkennt in seiner aktuellen Rechtsprechung zwar, dass die Bedingungen in den bulgarischen Aufnahme- und Haftzentren prekär sind, hält aber auch fest, dass diese nicht als unmenschlich oder erniedrigend bezeichnet werden können, sodass gegenwärtig keine systemischen Schwachstellen festgestellt werden können (vgl. Urteile des BVGer F-6287/2024 vom 17. Oktober 2024 E. 7.3, F-5523/2023 vom 31. Oktober 2023 E. 5.4).</w:t>
      </w:r>
    </w:p>
    <w:p>
      <w:r>
        <w:rPr>
          <w:b/>
        </w:rPr>
        <w:t>E. 5.4</w:t>
      </w:r>
    </w:p>
    <w:p>
      <w:r>
        <w:t>Unter diesen Umständen ist die Anwendung von Art. 3 Abs. 2 Dublin-III-VO nicht gerechtfertigt.</w:t>
      </w:r>
    </w:p>
    <w:p>
      <w:r>
        <w:rPr>
          <w:b/>
        </w:rPr>
        <w:t>E. 6.1</w:t>
      </w:r>
    </w:p>
    <w:p>
      <w:r>
        <w:t>Abweichend vom Art. 3 Abs. 1 Dublin-III-VO kann jeder Mitgliedstaat beschliessen, einen bei ihm von einem Drittstaatsangehörigen oder Staatenlosen gestellten Antrag auf internationalen Schutz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darf das Bundesverwaltungsgericht sein eigenes Ermessen nicht anstelle desjenigen des SEM setzen (BVGE 2015/9 E. 7.6 und E. 8.1 in fine).</w:t>
      </w:r>
    </w:p>
    <w:p>
      <w:r>
        <w:rPr>
          <w:b/>
        </w:rPr>
        <w:t>E. 6.2</w:t>
      </w:r>
    </w:p>
    <w:p>
      <w:r>
        <w:t>Mangels systemischer Mängel im Sinne von Art. 3 Abs. 2 Dublin-III-VO kann vermutungsweise davon ausgegangen werden, dass Bulgarien seinen völker- und gemeinschaftsrechtlichen Verpflichtungen gegenüber Personen in der Situation des Beschwerdeführers nachkommt und insbesondere auch die Rechte respektiert und schützt, die sich aus der Verfahrens- und Aufnahmerichtlinie ergeben (vgl. Referenzurteil F-7195/2018 E. 6.1). Diese Vermutung kann im Einzelfall widerlegt werden; hierfür bedarf es aber konkreter und ernsthafter Hinweise, die von der betroffenen Person glaubhaft darzutun sind (vgl. BVGE 2010/45 E. 7.4 f.; Urteil des BVGer F-651/2023 vom 17. Februar 2023 E. 8.2).</w:t>
      </w:r>
    </w:p>
    <w:p>
      <w:r>
        <w:rPr>
          <w:b/>
        </w:rPr>
        <w:t>E. 6.3</w:t>
      </w:r>
    </w:p>
    <w:p>
      <w:r>
        <w:t>Der Beschwerdeführer brachte vor, dass die Aufnahmebedingungen in den bulgarischen Aufnahmezentren in mehrfacher Hinsicht schlecht gewesen seien. Generell sei die Situation unzulänglich, da der Zugang zur Gesundheitsversorgung, zu verschiedenen Sozialleistungen und zur Unterbringung beeinträchtigt sei. Zudem hätten die bulgarischen Beamten gegenüber dem Beschwerdeführer physische und psychische Gewalt angewendet. Folglich könne Bulgarien nicht als sicherer Drittstaat für Asylsuchende verstanden werden. Der Beschwerdeführer hat jedoch kein konkretes und ernsthaftes Risiko dargetan, die bulgarischen Behörden würden sich weigern, seinen Antrag auf internationalen Schutz unter Einhaltung völkerrechtlicher Verpflichtungen zu prüfen. Den Akten sind denn auch keine Gründe für die Annahme zu entnehmen, Bulgarien werde in diesem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Bulgarien seien derart schlecht, dass sie zu einer Verletzung von Art. 4 der EU-Grundrechtecharta, Art. 3 EMRK oder Art. 3 FoK (SR 0.105) führen könnten. Vielmehr kann aufgrund seiner Angaben im Rahmen des Dublin-Gesprächs, wonach er täglich drei Mahlzeiten erhalten hätte (vgl. SEM-Akte 13/3), und aufgrund seines gegenwärtig guten Gesundheitszustandes (vgl. SEM-Akte 21/1, 22/1) davon ausgegangen werden, dass er in Bulgarien ausreichend versorgt wurde, weshalb auch die Mindestanforderungen der Aufnahmerichtlinie als erfüllt anzusehen sind. Bei einer allfälligen vorübergehenden Einschränkung der ihm zustehenden Aufnahmebedingungen könnte er sich im Übrigen nötigenfalls an die bulgarischen Behörden wenden und seine Rechte auf dem Rechtsweg einfordern (vgl. Art. 26 Aufnahmerichtlinie). Dies gilt auch in Bezug auf ein allfälliges Fehlverhalten der bulgarischen Beamten. Des Weiteren steht ihm die Möglichkeit offen, die vor Ort tätigen karitativen Organisationen zu kontaktieren.</w:t>
      </w:r>
    </w:p>
    <w:p>
      <w:r>
        <w:rPr>
          <w:b/>
        </w:rPr>
        <w:t>E. 6.4</w:t>
      </w:r>
    </w:p>
    <w:p>
      <w:r>
        <w:t>Der Beschwerdeführer führte weiter aus, dass er unter psychischen Problemen leide, insbesondere unter starken Angstzuständen und Schlafstörungen, weshalb eine Überstellung nach Bulgarien seine Gesundheit gefährden würde. Es ist darauf hinzuweisen, dass diese Behauptung im Widerspruch zu den Angaben steht, die er im Rahmen des Dublin-Gesprächs machte, in dem er das Vorhandensein jeglicher psychischer oder physischer Gesundheitsprobleme verneint hatte (vgl SEM-Akte 13/3). Im Übrigen wurden keine derart schwerwiegenden Pathologien psychischer oder physischer Art im ärztlichen Bericht vom 14. Oktober 2024 (vgl. SEM-Akte 20/1) festgestellt, die einer Überstellung nach Bulgarien entgegenstehen würden (vgl. anstatt vieler Urteil des BVGer F-3746/2023 vom 11. Juli 2023 E. 6.4 unter Verweis auf das Urteil des Europäischen Gerichtshofs für Menschenrechte [EGMR] Paposhvili gegen Belgien vom 13. Dezember 2016, Grosse Kammer, 41738/10, §§ 180-193; letzteres bestätigt durch das Urteil des EGMR Savran gegen Dänemark vom 7. Dezember 2021, Grosse Kammer, 57467/15, §§ 121 ff.). Darüber hinaus ist allgemein bekannt, dass Bulgarien über eine ausreichende medizinische Infrastruktur verfügt, auch wenn gewisse Mängel festgestellt werden können, die jedoch nicht den Schweregrad von systemischen Mängeln aufweisen (Urteile des BVGer F-6287/2024 vom 17. Oktober 2024 E. 7.3, F-6204/2024 vom 9. Oktober 2024 E. 6.1 f.). Daher kann der Beschwerdeführer auch in Bulgarien mit einer ausreichenden psychologischen Betreuung rechnen (vgl. Urteil des BVGer F-5523/2023 vom 31. Oktober 2023 E. 6.3.5).</w:t>
      </w:r>
    </w:p>
    <w:p>
      <w:r>
        <w:rPr>
          <w:b/>
        </w:rPr>
        <w:t>E. 6.5</w:t>
      </w:r>
    </w:p>
    <w:p>
      <w:r>
        <w:t>Im Übrigen ist festzustellen, dass der Beschwerdeführer auch aus der Beziehung zu seiner Mutter und seinen Halbgeschwistern in der Schweiz nichts zu seinen Gunsten ableiten kann. Tatsächlich fehlt es an einer familiären Bindung im Sinne von Art. 2 Bst. g Dublin-III-VO. Auch die Anwendbarkeit vom Art. 16 Abs. 1 Dublin-III-VO ist zu verneinen, da ein rechtlich relevantes Abhängigkeitsverhältnis zwischen dem Beschwerdeführer und seiner Mutter einerseits oder zwischen ihm und seinen übrigen in der Schweiz aufhältigen Familienangehörigen andererseits nicht nachgewiesen werden kann (vgl. Urteile des BVGer F-2168/2022 vom 30. Mai 2022 E. 4.3, F-5537/2024 vom 9. September 2024 E. 5.2, F-4161/2024 vom 8. Juli 2024 E. 7.3). Zum anderen liegen keine Beziehungen vor, die unter die Schutzwirkung von Art. 8 Abs. 1 EMRK fallen würden (vgl. Urteile des BGer 2C_339/2019 vom 14. November 2019 E. 3.5; BGE 120 Ib 257 E. 1e; bestätigt im Urteil des BVGer F-4161/2024 vom 8. Juli 2024 E. 7.1). Die Anwesenheit der Mutter des Beschwerdeführers und seiner Halbgeschwister in der Schweiz vermag somit die Zuständigkeit der hiesigen Behörden nicht zu begründen.</w:t>
      </w:r>
    </w:p>
    <w:p>
      <w:r>
        <w:rPr>
          <w:b/>
        </w:rPr>
        <w:t>E. 6.6</w:t>
      </w:r>
    </w:p>
    <w:p>
      <w:r>
        <w:t>Somit stehen weder Art. 3 EMRK noch Art. 14 und Art. 16 FoK oder andere völkerrechtliche Bestimmungen einer Überstellung des Beschwerdeführers nach Bulgarien entgegen. Deshalb ist nicht zu beanstanden, dass die Vorinstanz die Souveränitätsklausel von Art. 17 Abs. 1 Dublin-III-VO respektive die Bestimmung von Art. 29a Abs. 3 der Asylverordnung 1 vom 11. August 1999 (AsylV 1, SR 142.311) nicht angewandt hat. Das ihr zustehende Ermessen hat die Vorinstanz in Vornahme einer hinreichenden Einzelfallprüfung rechtskonform ausgeübt (vgl. BVGE 2015/9 E. 8). Bulgarien ist nach dem Gesagten für die Durchführung des Asyl- und Wegweisungsverfahrens zuständig.</w:t>
      </w:r>
    </w:p>
    <w:p>
      <w:r>
        <w:rPr>
          <w:b/>
        </w:rPr>
        <w:t>E. 7</w:t>
      </w:r>
    </w:p>
    <w:p>
      <w:r>
        <w:t>Was den Subeventualantrag anbelangt, von den bulgarischen Behörden eine Garantieerklärung zu verlangen, wonach diese sich für eine angemessene Betreuung des Beschwerdeführers einzusetzen hätten, ist festzuhalten, dass die geltend gemachten und teilweise medizinisch belegten psychischen Störungen des Beschwerdeführers nicht schwerwiegend erscheinen. Im Übrigen wird der Beschwerdeführer darauf aufmerksam gemacht, dass die mit dem Vollzug der angefochtenen Verfügung betrauten schweizerischen Behörden gehalten sind, die bulgarischen Behörden in geeigneter Weise und vorgängig über die spezifischen medizinischen Umstände zu informieren (vgl. Art. 31 f. Dublin-III-VO). Angesichts dessen besteht keine Veranlassung, von den bulgarischen Behörden eine individuelle und konkrete Garantieerklärung im Sinne des Subeventualantrags einzuholen. Der Subeventualantrag wird abgewiesen.</w:t>
      </w:r>
    </w:p>
    <w:p>
      <w:r>
        <w:rPr>
          <w:b/>
        </w:rPr>
        <w:t>E. 8</w:t>
      </w:r>
    </w:p>
    <w:p>
      <w:r>
        <w:t>Zu Recht ist die Vorinstanz auf das Asylgesuch nicht eingetreten und hat die Überstellung des Beschwerdeführers nach Bulgarien verfügt. Die Beschwerde ist abzuweisen. Das Beschwerdeverfahren ist abgeschlossen, womit der angeordnete Vollzugsstopp dahinfällt und sich der Antrag auf Gewährung der aufschiebenden Wirkung als gegenstandslos erweist. Aufgrund dessen erweist sich auch der Antrag auf Gewährung einer Nachfrist zur Beschwerdeergänzung als gegenstandslos.</w:t>
      </w:r>
    </w:p>
    <w:p>
      <w:r>
        <w:rPr>
          <w:b/>
        </w:rPr>
        <w:t>E. 9</w:t>
      </w:r>
    </w:p>
    <w:p>
      <w:r>
        <w:t>Das Gesuch um Gewährung der unentgeltlichen Rechtspflege ist abzuweisen, da die Begehren - wie sich aus den vorstehenden Erwägungen ergibt - von vornherein als aussichtslos zu bezeichnen sind. Die Verfahrenskosten sind dem unterliegenden Beschwerdeführer aufzuerlegen (Art. 63 Abs. 1 VwVG) und auf insgesamt Fr. 750.- festzusetzen (Art. 1 ff. des Reglements vom 21. Februar 2008 über die Kosten und Entschädigungen vor dem Bundesverwaltungsgericht [VGKE, SR 173.320.2]. Eine Parteientschädigung fällt ausgangsgemäss ausser Betracht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