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F-6860/2016 vom 6. Juli 2018</w:t>
      </w:r>
    </w:p>
    <w:p>
      <w:r>
        <w:t>Bundesverwaltungsgericht, 2018-07-06, FR</w:t>
      </w:r>
    </w:p>
    <w:p>
      <w:r>
        <w:rPr>
          <w:b/>
        </w:rPr>
        <w:t xml:space="preserve">Quelle: </w:t>
      </w:r>
      <w:r>
        <w:t>https://mcp.opencaselaw.ch/entscheid/bvger_F-6860_2016</w:t>
      </w:r>
    </w:p>
    <w:p>
      <w:r>
        <w:t>FR: TAF F-6860/2016 du 6 juillet 2018</w:t>
      </w:r>
    </w:p>
    <w:p>
      <w:r>
        <w:t>IT: TAF F-6860/2016 del 6 luglio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(art. 33 let. d LTAF) sont susceptibles de recours au Tribunal, qui statue comme autorité précédant le Tribunal fédéral (art. 1 al. 2 LTAF en relation avec l'art. 83 let. c ch. 2 a contrario LTF). A moins que la LTAF n'en dispose autrement, la procédure devant le Tribunal est régie par la PA (art. 37 LTAF).</w:t>
      </w:r>
    </w:p>
    <w:p>
      <w:r>
        <w:rPr>
          <w:b/>
        </w:rPr>
        <w:t>E. 1.2</w:t>
      </w:r>
    </w:p>
    <w:p>
      <w:r>
        <w:t>X._______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juridiques de la décision attaquée (ATAF 2014/24 consid. 2.2 et ATAF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Aux termes de l'art. 85 al. 1 de l'ordonnance du 24 octobre 2007 relative à l'admission, au séjour et à l'exercice d'une activité lucrative (OASA, 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L'autorité cantonale compétente en matière d'étrangers peut en outre soumettre une décision au SEM pour approbation afin qu'il vérifie si les conditions prévues par le droit fédéral sont remplies (art. 85 al. 3 OASA).</w:t>
      </w:r>
    </w:p>
    <w:p>
      <w:r>
        <w:rPr>
          <w:b/>
        </w:rPr>
        <w:t>E. 3.2</w:t>
      </w:r>
    </w:p>
    <w:p>
      <w:r>
        <w:t>En l'espèce, le SEM avait la compétence d'approuver l'octroi d'une autorisation de séjour en application de l'art. 85 OASA autant dans son ancienne teneur que dans celle en vigueur depuis le 1er septembre 2015 (cf. à ce sujet ATF 141 II 169 consid. 4 ainsi que l'art. 4 let. d de l'ordonnance du DFJP relative aux autorisations soumises à la procédure d'approbation et aux décisions préalables dans le domaine du droit des étrangers [RS 142.201.1]). Il s'ensuit que ni le Tribunal, ni le SEM, ne sont liés par la décision du Service cantonal du 12 août 2016 de prolonger l'autorisation de séjour de X._______ et peuvent donc s'écarter de l'appréciation faite par l'autorité cantonale.</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w:t>
      </w:r>
    </w:p>
    <w:p>
      <w:r>
        <w:rPr>
          <w:b/>
        </w:rPr>
        <w:t>E. 4.2</w:t>
      </w:r>
    </w:p>
    <w:p>
      <w:r>
        <w:t>En l'espèce, l'examen du dossier amène à constater que les époux X.Y._______ ont contracté mariage le 18 septembre 2011 en Tunisie, qu'ils ont vécu en communauté conjugale en Suisse depuis l'arrivée du recourant dans ce pays le 12 novembre 2011 et qu'ils se sont séparés en 2014. Compte tenu du fait que la séparation des époux - qui a duré plus de trois ans et demi - doit être considérée comme définitive (arrêt du TF 2C_1188/2012 du 17 avril 2013 consid. 3.1), le recourant ne saurait se prévaloir de l'art. 42 LEtr ; il ne prétend d'ailleurs pas le contraire. 5.Il convient dès lors d'examiner si l'intéressé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5.1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LEtr(ATF 137 II 345 consid. 3.1.3; arrêt du TF 2C_808/2015 du 23 octobre 2015 consid. 3.1). 5.1.1 En ce qui concerne la durée effective de l'union conjugale en Suisse des époux X.Y._______, le Tribunal relève ce qui suit. Il s'agit tout d'abord de retenir que la vie commune a débuté à l'arrivée sur territoire helvétique de l'intéressé, soit le 12 novembre 2011, étant rappelé ici que la date de l'obtention de l'autorisation de séjour au titre du regroupement familial n'est pas déterminante pour le calcul du délai de trois ans (arrêt du TF 2C_50/2015 du 26 juin 2015 consid. 3.3.1) ; contrairement à ce que tente de faire accroire le recourant, les motifs administratifs pour lesquels il n'a pu entrer en Suisse avant le 12 novembre 2011 (respectivement la simple probabilité d'une union conjugale vécue plus précocement) ne sont pas assimilables à des raisons majeures justifiant l'existence de domiciles séparés au sens de l'art. 49 LEtr (arrêt du TF 2C_117/2014 du 27 juin 2014 consid. 3.3). Il ressort ensuite du dossier de la cause qu'en date du 27 novembre 2014, X._______ et son épouse ont tous deux rempli le formulaire «Annonce de changement de situation familiale et/ou d'adresse» fourni par l'Office de la population de la Ville de A._______ (VD), indiquant que leur nouvel état civil était «séparé» dès cette date. Néanmoins, le 27 janvier 2015, auditionnés séparément par la Police cantonale vaudoise, sur demande du Service cantonal, ils ont tous deux indiqué s'être séparés au mois d'octobre 2014 déjà. S'appuyant sur leurs déclarations concordantes du 27 janvier 2015, l'autorité intimée a retenu, dans la décision litigieuse, que la vie commune des époux avait duré moins de trois ans, nonobstant les observations de l'intéressé du23 septembre 2016, dans lesquelles il avait indiqué ne s'être séparé de son épouse que le 27 novembre 2014. Dans son recours du 7 novembre 2016, le recourant a indiqué - par le truchement de sa mandataire - avoir «quitté le domicile conjugal à une date précise inconnue, mais dans la deuxième moitié du moisd'octobre 2014 ou le mois de novembre 2014 (...)». Enfin, dans sa réplique du 12 juin 2017, le nouveau mandataire de l'intéressé a précisé que si le couple avait «effectivement décidé d'aborder la question de la séparation durant le mois d'octobre 2014», le recourant et son épouse n'avaient «pu se résoudre à exclure toute chance de poursuite de la vie commune avant le 27 novembre 2014, date à laquelle la séparation (était) intervenue de manière effective (...)». 5.1.2 La libre appréciation des diverses pièces du dossier (art. 40 PCF, auquel renvoie l'art. 19 PA) permet de déterminer la fin de la cohabitation effective du couple X.Y._______. Le Tribunal rappelle tout d'abord que les annonces faites par les intéressés au Contrôle des habitants ne sont que des indices qui peuvent ne pas correspondre à la réalité et/ou être imprécis (arrêt du TF 2C_976/2012 du11 février 2013 consid. 3.2). Au surplus, dès qu'il s'agit pour les autorités migratoires d'examiner les conditions de séjour en Suisse d'un étranger, l'expérience démontre qu'en cas de contradictions entre des affirmations successives, il y a lieu d'accorder plus de crédibilité aux déclarations initiales et spontanées des intéressés (ATF 121 V 47 et 115 V 143 ; arrêt du TAF F-584/2016 du25 janvier 2018 consid. 5.2). Dans ces conditions, le Tribunal s'appuiera sur la version des faits exposée par les intéressés lors de leur audition du 27 janvier 2015, et qui n'a pas été formellement contestée dans le cadre du recours du 7 novembre 2016 interjeté contre la décision querellée. Il sied donc de retenir pour avéré et crédible que le couple X.Y._______ ne manifestait plus de volonté conjugale effective dès le mois d'octobre 2014, indépendamment du fait que les intéressés auraient poursuivi leur habitation commune jusqu'au mois de novembre 2014 (arrêt du TF 2C_748/2011 du 11 juin 2012 consid. 2.1 ; arrêt du TAF C-2934/2010 du 20 novembre 2012 consid. 6.2.3). En conséquence, le Tribunal est amené à conclure que le recourant a vécu durant moins de trois ans en communauté conjugale en Suisse avec son épouse, soit du 12 novembre 2011 au mois d'octobre 2014. La première condition posée par l'art. 50 al. 1 let. a LEtr n'est ainsipas remplie. Cette condition et celle de l'intégration réussie étant cumulatives (ATF 136 II 113 consid. 3.3.3), il est renoncé à examiner plus avant cette dernière. X._______ ne peut dès lors pas se prévaloir del'art. 50 al. 1 let. a LEtr pour prétendre au renouvellement de son autorisation de séjour. 5.2 Cela étant, il y a encore lieu d'examiner si la poursuite du séjour du recourant en Suisse s'impose pour des raisons personnelles majeures au sens de l'art. 50 al. 1 let. b LEtr. 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del'art. 50 al. 1 let. a LEtr ne sont pas données, soit que la vie commune en Suisse a duré moins de trois ans, soit que l'intégration n'est pas réussie(ATF 138 II 393 consid. 3.1 et arrêts cités), mais où des raisons personnelles majeures l'imposent. 5.2.1 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mariage(ATF 137 II 1 consid. 4.1 ; voir également ATF 137 II 345 consid. 3.2.1 au sujet des différences avec les conditions d'application del'art. 30 al. 1 let. b LEtr et consid. 3.2.2 et 3.2.3 sur la notion de "raisons personnelles majeures"). 5.2.2 En l'espèce, le recourant séjourne depuis moins de sept ans en Suisse et il n'apparaît pas qu'il se soit créé avec ce pays des attaches particulièrement étroites au point de le rendre étranger à son pays d'origine. En effet, le prénommé, arrivé en Suisse à l'âge de trente-huit ans, a passé en Tunisie son enfance, son adolescence et les premières années de sa vie d'adulte, années qui apparaissent comme essentielles pour la formation de la personnalité et, partant, pour l'intégration sociale et culturelle(ATAF 2007/45 consid. 7.6). A l'exclusion de son épouse, dont il vit séparé, le recourant n'a aucune attache familiale en Suisse ; ses racines socio-culturelles se trouvent à l'évidence dans son pays d'origine, où vit sa famille et où il avait créé sa propre entreprise de décoration de marbre et mosaïque (cf. procès-verbal d'audition de la Police cantonale vaudoise du27 janvier 2015, R 5 et R 10). Dans ces conditions, l'intéressé a certainement conservé, en Tunisie, un cercle d'amis et de connaissances susceptibles de favoriser son retour. Il ressort du dossier de la cause que le recourant a déposé une demande de rente de l'assurance invalidité au mois de décembre 2015. Il souffre d'un syndrome fémoro-patellaire bilatéral avec hypertrophie des quadriceps, patella alta et dysplasie trochléenne modérée. Il a été victime d'un accident de travail en avril 2014 (contusion importante du genou gauche, contusion osseuse du condyle fémoral externe et hématome sous-cutané de la face antérieure du genou) et il souffre depuis lors de gonalgies bilatérales. L'intéressé présente en outre, depuis 2012, un état anxio-dépressif avec des troubles du sommeil importants, fatigabilité, hallucinations auditives et troubles de la concentration. Dès 2016, l'Office de l'assurance-invalidité pour le canton de Vaud a pris en charge diverses mesures de réinsertion ou professionnelles en faveur de l'intéressé, assorties d'indemnités journalières. Selon la jurisprudence,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y poursuivre son séjour (arrêts du TF 2C_959/2011 du 22 février 2012 consid. 3.2 et 2C_216/2009 du 20 août 2009 consid. 4.2). En l'espèce, il ne ressort pas du dossier que le départ de Suisse du recourant serait susceptible d'entraîner de graves conséquences pour sa santé respectivement que le traitement de ses pathologies serait indisponible en Tunisie (ATF 2C_786/2015 du 23 mai 2016 consid. 3.3) Au demeurant, la présence - durable - en Suisse du recourant n'est pas nécessaire durant le traitement de sa demande de prestations de l'assurance invalidité (arrêt du TF 2C_905/2012 du 13 mai 2013 consid. 3.2). Le recourant est donc en mesure de se réintégrer à la société tunisienne, même si le Tribunal est conscient que cela ne se fera qu'au terme d'une période de réadaptation et que le prénommé disposera probablement d'une situation économique initialement moins favorable que celle qu'il connaît en Suisse. C'est le lieu de relever que le fait que les conditions d'existence soient plus difficiles dans le pays de provenance, compte tenu d'un niveau de vie différent, n'est pas déterminant au regard del'art. 50 al. 1 let. b LEtr (ATF 137 II 345 consid. 3.2.3). 5.2.3 S'agissant de l'argument avancé par le recourant, selon lequel les troubles psychiatriques de son épouse auraient rendu impossible la poursuite de la vie commune du couple, le Tribunal souligne que la maladie d'un conjoint ne constitue pas en soi une raison majeure au sens del'art. 49 LEtr, compte tenu du devoir d'assistance réciproque entre époux prévu par l'art. 159 al. 3 CC (arrêts du TF 2C_1123/2014 du 24 avril 2015 consid. 3.3 et 2C_1027/2012 du 20 décembre 2012 consid. 3.3). Au surplus, contrairement à ce que prétend le recourant, l'instabilité psychique de son épouse - et la souffrance ainsi engendrée chez l'intéressé - ne constituent pas davantage une violence conjugale dont il pourrait se prévaloir sous l'angle de l'art. 50 al. 2 LEtr (arrêt du TF 2C_866/2013 du21 février 2014 consid. 4.2).</w:t>
      </w:r>
    </w:p>
    <w:p>
      <w:r>
        <w:rPr>
          <w:b/>
        </w:rPr>
        <w:t>E. 6</w:t>
      </w:r>
    </w:p>
    <w:p>
      <w:r>
        <w:t>Il convient de relever enfin qu'il n'y a pas lieu d'examiner la situation du recourant sous l'angle de l'art. 30 al. 1 let. b LEtr, puisque les raisons personnelles majeures ont été écartées sur la base de l'art. 50 al. 1 let. b LEtr, de sorte qu'elles le seraient pareillement sous l'angle del'art. 30 al. 1 let. b LEtr (ATF 137 II 345 consid. 3.2.1; arrêt du TF 2C_1062/2013 du 28 mars 2014 consid. 3.2.1 ; arrêts du TAF C-425/2014 du 3 mai 2016 consid. 9 et C-1119/2013 du 19 novembre 2014 consid. 8). 7.Dans la mesure où le recourant n'obtient pas la prolongation de son autori-sation de séjour, c'est à bon droit que l'autorité intimée a prononcé son renvoi de Suisse, conformément à l'art. 64 al. 1 let. c LEtr. Le dossier ne fait pas apparaître que l'exécution du renvoi en Tunisie serait impossible, illicite ou inexigible au sens de l'art. 83 al. 2 à 4 LEtr. Ainsi, c'est à juste titre que l'instance inférieure a ordonné l'exécution de cette mesure. En particulier, l'on ne peut affirmer que la Tunisie connaîtrait, sur l'ensemble de son territoire, une situation de guerre, de guerre civile ou de violence généralisée qui permettrait de présumer, à propos de tous les ressortissants de ce pays, l'existence d'une mise en danger concrète au sens de l'art. 83 al. 4 LEtr (arrêt du TAF E-877/ 2015 du 13 novembre 2017consid. 8.2). S'agissant plus spécifiquement de l'état de santé, l'exécution du renvoi ne devient inexigible au sens de l'art. 83 al. 4 LEtr, en cas de retour dans le pays d'origine, que dans la mesure où, en l'absence de soins essentiels, l'état de santé de l'intéressé, en raison de sa gravité, se dégraderait très rapidement au point de conduire d'une manière certaine à la mise en danger concrète de sa vie ou à une atteinte sérieuse, durable, et notablement plus grave de son intégrité physique (ATAF 2009/2 consid. 9.3.2). En l'occurrence, les problèmes de santé du recourant ne sont toutefois pas d'une gravité telle qu'ils mettraient de manière imminente sa vie ou son intégrité physique en danger, au point de constituer, de ce fait, un obstacle à l'exécution de son renvoi (sur l'accès au système de santé tunisien,cf. par exemple arrêt du TAF E-5506/2017 du 22 décembre 2017 ; s'agissant de l'examen prioritaire des critères de l'art. 50 al. 1 let. b LEtr sur la procédure d'admission provisoire, y compris au sujet de l'état de santé,cf. arrêt du TF 2C_1062/2013 du 28 mars 2014 consid. 3.2.2). 8.Il ressort de ce qui précède que par sa décision du 5 octobre 2016, l'autorité intimée n'a ni violé le droit fédéral, ni constaté des faits pertinents de manière inexacte ou incomplète. En outre, la décision attaquée n'est pas inopportune (cf. art. 49 PA). En conséquence, le recours est rejeté.</w:t>
      </w:r>
    </w:p>
    <w:p>
      <w:r>
        <w:rPr>
          <w:b/>
        </w:rPr>
        <w:t>E. 9</w:t>
      </w:r>
    </w:p>
    <w:p>
      <w:r>
        <w:t>Par décision incidente du 25 novembre 2016, le Tribunal a mis le recourant au bénéfice de l'assistance judiciaire totale, l'a dispensé du paiement des frais de procédure et a désigné Me Vanessa Egli en qualité de mandataire d'office pour la présente procédure, en application de l'art. 65 al. 1 et 2 PA. Par ordonnance du 4 mai 2017, le Tribunal a autorisé Me Benjamin Schwab à agir en qualité de défenseur d'office du recourant, en se substituant àMe Vanessa Egli. Partant, il n'est pas perçu de frais de procédure. Il convient en outre d'accorder une indemnité à titre d'honoraires à Me Benjamin Schwab (art. 8 à 12 en relation avec l'art. 14 du règlement du21 février 2008 concernant les frais, dépens et indemnités fixés par le Tribunal administratif fédéral [FITAF, RS 173.320.2]), le recourant ayant l'obli-gation de rembourser ce montant s'il revient à meilleure fortune, conformé-ment à l'art. 65 al. 4 PA. Pour des motifs de protection des données, il est statué sur la rémunération de Me Vanessa Egli - ancienne mandataire du recourant - par décision séparée. L'autorité appelée à fixer les dépens, respectivement le remboursement,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Par courrier du 31 janvier 2018, Me Benjamin Schwab a versé en cause un décompte détaillé de ses prestations et de celles de Me Vanessa Egli, qu'il a chiffrées à un montant total de 7'104.80 francs, correspondant à 25 heures 20 de travail. La rémunération de Me Vanessa Egli par la Caisse du Tribunal s'effectuant sur la base de la note d'honoraires séparée du 25 avril 2017 produite par cette avocate, il y a d'emblée lieu de retrancher l'ensemble des prestations afférentes à son activité et correspondant à 4'034.50 francs (débours inclus). Quant aux activités déployées et facturées personnellement par Me Benjamin Schwab, elles s'élèvent à 3'070.30 francs. Or, vu l'avancement du dossier au stade de sa reprise parMe Benjamin Schwab, nombre des prestations facturées n'apparaissent pas en adéquation avec les besoins de la cause. Ainsi en est-il des nombreuses lettres au client et courriers à diverses autorités (facturés à plus de 580 francs entre les mois de mai 2017 et janvier 2018) et des entretiens avec le mandant (facturés à plus de 520 francs entre les mois de mai 2017 et janvier 2018). Partant, tenant compte de l'ensemble des circonstances du cas, de l'importance de l'affaire, du degré de difficulté de cette dernière et des opérations indispensables effectuées par Me Benjamin Schwab, le Tribunal estime, au regard des art. 8ss FITAF, que le versement d'une indemnité à titre d'honoraires s'élevant à Fr. 1'200.-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