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F-6854/2024 vom 16. Oktober 2024</w:t>
      </w:r>
    </w:p>
    <w:p>
      <w:r>
        <w:t>Bundesverwaltungsgericht, 2024-10-16, DE</w:t>
      </w:r>
    </w:p>
    <w:p>
      <w:r>
        <w:rPr>
          <w:b/>
        </w:rPr>
        <w:t xml:space="preserve">Quelle: </w:t>
      </w:r>
      <w:r>
        <w:t>https://mcp.opencaselaw.ch/entscheid/bvger_F-6854_2024_d20241016</w:t>
      </w:r>
    </w:p>
    <w:p>
      <w:r>
        <w:t>FR: TAF F-6854/2024 du 16 octobre 2024</w:t>
      </w:r>
    </w:p>
    <w:p>
      <w:r>
        <w:t>IT: TAF F-6854/2024 del 16 ottobre 2024</w:t>
      </w:r>
    </w:p>
    <w:p>
      <w:pPr>
        <w:pStyle w:val="Heading2"/>
      </w:pPr>
      <w:r>
        <w:t>Regeste</w:t>
      </w:r>
    </w:p>
    <w:p>
      <w:r>
        <w:t>Schengen-Visum | Schengen-Visum; Verfügung des SEM vom 16. Oktober 2024</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in seiner Rolle als Gastgeber gemäss bisheriger Pra- xis zur Beschwerde legitimiert (Art. 48 Abs. 1 VwVG; siehe einlässlich zur neuen Praxis in Bezug auf die Beschwerdelegitimation des Gastgebers Ur- teil des BVGer F-2397/2024 vom 11. April 2025 E. 2 [zur Publikation vor- gesehen], welche pro futuro bei neuen Beschwerden Platz greifen wird). Obwohl der ursprünglich angestrebte Besuchszeitraum inzwischen abge- laufen ist, kann auf ein fortbestehendes Rechtsschutzinteresse geschlos- sen werden. Auf die im Übrigen frist- und formgerecht eingereichte Be- schwerde ist einzutreten (Art. 50 Abs. 1 und 52 Abs. 1 VwVG).</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w:t>
      </w:r>
    </w:p>
    <w:p>
      <w:r>
        <w:t>F-6854/2024 Seite 4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w:t>
      </w:r>
    </w:p>
    <w:p>
      <w:r>
        <w:t>F-6854/2024 Seite 5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unterliegen die Gesuchstellenden der Visumspflicht. Bei der Prüfung der Einreisevoraussetzungen stellte die Vo- rinstanz das Kriterium der gesicherten Wiederausreise nach Art. 5 Abs. 2 AIG in den Vordergrund.</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w:t>
      </w:r>
    </w:p>
    <w:p>
      <w:r>
        <w:t>F-6854/2024 Seite 6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w:t>
      </w:r>
    </w:p>
    <w:p>
      <w:r>
        <w:t>Der seit 2011 anhaltende Bürgerkrieg und das starke Erdbeben im Februar 2023 im Norden Syriens haben im Land eine humanitäre Krise verursacht beziehungsweise diese weiter verschärft (vgl. &lt; https://medeor. de &gt; Was wir tun &gt; Syrien, abgerufen am 04.08.2025). Viele Gesundheits- einrichtungen wurden bombardiert und sind nicht mehr funktionsfähig. Es besteht ein Versorgungsengpass, da viele medizinische Mitarbeiter getötet wurden oder geflohen sind. 16,5 Millionen der 25 Millionen Einwohner sind auf humanitäre Hilfe angewiesen (vgl. &lt; https://www.aerzte-ohne- grenzen.de &gt; Unsere Arbeit &gt; Einsatzländer &gt; Syrien, abgerufen am 04.08.2025). Syrien belegt auf dem aktuellen Index der menschlichen Entwicklung, der durch das Entwicklungsprogramm der Vereinten Nationen im Sinne eines Wohlstandsindikators erstellt wird, lediglich Platz 162 von 193 gelisteten Staaten (vgl. &lt; https://hdr.undp.org &gt; Data Center ˃ Country Insights &gt; Syrian Arab Republic, abgerufen am 04.08.2025). Der hohe Abwanderungsdruck unter der zivilen Bevölkerung hält weiterhin an. Am 27. November 2024 haben verschiedene syrische Milizen unter Führung von Hayat Tahrir al-Sham (HTS) eine Grossoffensive gegen den Langzeitherrscher Bashar al-Assad lanciert und ihn zu Fall gebracht. Am 10. Dezember 2024 hat HTS eine Übergangsregierung eingesetzt. Die Lage ist seither sehr volatil und die weitere Entwicklung ungewiss (vgl. &lt; https://www.eda.admin.ch &gt; Reisehinweise &amp; Vertretungen &gt; Syrien &gt; Reisehinweise für Syrien, abgerufen am 04.08.2025).</w:t>
      </w:r>
    </w:p>
    <w:p>
      <w:r>
        <w:rPr>
          <w:b/>
        </w:rPr>
        <w:t>E. 4.3</w:t>
      </w:r>
    </w:p>
    <w:p>
      <w:r>
        <w:t>Vor diesem Hintergrund ist nicht zu beanstanden, dass die Vorinstanz das Risiko einer nicht fristgerechten Wiederausreise von Besucherinnen und Besuchern aus Syrien (nach wie vor)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w:t>
      </w:r>
    </w:p>
    <w:p>
      <w:r>
        <w:t>F-6854/2024 Seite 7 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hoch eingeschätzt werden (BVGE 2014/1 E. 6.3.1; 2009/27 E. 8). Zu- dem ist ein im Zielland Schweiz bestehendes, minimales soziales Bezie- hungsnetz aus Verwandten oder Freunden ein wichtiges Element, das den Entscheid, dorthin auszuwandern, begünstigen kann. Angesichts der rest- riktiven Zulassungsregelung führt dies nicht selten zur Umgehung von aus- länder-rechtlichen Bestimmungen, indem die Gesuchstellenden – einmal eingereist – versuchen, den Aufenthalt auf eine andere rechtliche Basis abzustützen (BVGE 2014/1 E. 6.2.2).</w:t>
      </w:r>
    </w:p>
    <w:p>
      <w:r>
        <w:rPr>
          <w:b/>
        </w:rPr>
        <w:t>E. 4.5.1</w:t>
      </w:r>
    </w:p>
    <w:p>
      <w:r>
        <w:t>Der Beschwerdeführer führt in Bezug auf die gesellschaftlichen, so- zialen und familiären Verpflichtungen der Gesuchstellenden aus, der Ge- suchsteller habe eine Familie in Syrien.</w:t>
      </w:r>
    </w:p>
    <w:p>
      <w:r>
        <w:rPr>
          <w:b/>
        </w:rPr>
        <w:t>E. 4.5.2</w:t>
      </w:r>
    </w:p>
    <w:p>
      <w:r>
        <w:t>Bei der Gesuchstellerin handelt es sich um die (…)-jährige Mutter des Beschwerdeführers. Aus ihrer Ehe gingen 10 Kinder hervor. Soweit aus den Akten ersichtlich wird, leben mehrere ihrer Kinder in der Schweiz (der Beschwerdeführer spricht von seinen « anderen Geschwistern in der Schweiz »), die übrigen Geschwister leben in Syrien. Aus den Akten sowie den Ausführungen des Beschwerdeführers wird nicht ersichtlich, ob die Be- ziehung der Gesuchstellerin zu ihrem Ehemann weiterhin besteht und sie in einem gemeinsamen Haushalt leben. Ebenso wenig wird ersichtlich, in- wiefern die Gesuchstellerin eine enge Beziehung zu ihren in Syrien leben- den, volljährigen Kindern pflegt und ob ihr besondere gesellschaftliche oder familiäre Verpflichtungen obliegen. Beim Gesuchsteller handelt es sich um den (…)-jährigen Bruder des Be- schwerdeführers. Er ist verheiratet und hat eine vierjährige Tochter. Der Beschwerdeführer äussert sich nicht zur Beziehung des Gesuchstellers zu dessen Ehefrau und dessen Tochter. Es ist daher nicht bekannt, ob er mit ihnen zusammenlebt und inwieweit er sich an der Erziehung und Betreu- ung seiner Tochter beteiligt. Aus dem Umstand, dass ein Auslandsaufent- halt nicht nur für einige Tage, sondern für 11 Wochen geplant ist, kann ohne weiteres geschlossen werden, dass die Anwesenheit des Gesuchstellers</w:t>
      </w:r>
    </w:p>
    <w:p>
      <w:r>
        <w:t>F-6854/2024 Seite 8 für die Betreuung seiner Tochter nicht unerlässlich ist. Das Zurücklassen minderjähriger Kinder – sowie der Ehefrau – bildet für sich allein noch keine Garantie für eine anstandslose und fristgerechte Wiederausreise nach ei- nem Besuchsaufenthalt. Die Erfahrung zeigt, dass es in der Regel vielmehr die individuell herrschenden wirtschaftlichen und sozialen Verhältnisse sind, die letztlich über Rückkehr oder Verbleib im Ausland entscheiden. Dass eine Familie vorübergehend getrennt wird, wird je nach Interessen- lage in Kauf genommen. Dies umso eher, wenn die Betreuung des Kindes durch nahe Angehörige sichergestellt werden kann und die Möglichkeit be- steht, das Kind sowie die Ehefrau später nachziehen zu können (vgl. Ur- teile des BVGer F-350/2023 vom 1. Dezember 2023 E. 8.2.1; F-2363/2022 vom 22. August 2022 E. 6.5). Sodann verfügen die Gesuchstellenden in der Schweiz durch die hier le- benden nahen Verwandten (Beschwerdeführer mitsamt dessen Familie so- wie mehrere weitere Geschwister des Gesuchstellers respektive Kinder der Gesuchstellerin mitsamt deren Familien) über ein vorbestehendes fa- miliäres Beziehungsnetz, was das Emigrationsrisiko erhöht (vgl. E. 4.4). Auch wenn die Gesuchstellenden zweifelsohne in Syrien verwurzelt sind, bestehen keine genügenden familiären, gesellschaftlichen oder sozialen Verpflichtungen, welche sie von einer Emigration abhalten könnten.</w:t>
      </w:r>
    </w:p>
    <w:p>
      <w:r>
        <w:rPr>
          <w:b/>
        </w:rPr>
        <w:t>E. 4.6.1</w:t>
      </w:r>
    </w:p>
    <w:p>
      <w:r>
        <w:t>In Bezug auf die beruflichen Verpflichtungen und die finanziellen Ver- hältnisse der Gesuchstellenden macht der Beschwerdeführer geltend, die Gesuchstellerin sei Hausfrau und der Gesuchsteller besitze ein Geschäft und Ländereien.</w:t>
      </w:r>
    </w:p>
    <w:p>
      <w:r>
        <w:rPr>
          <w:b/>
        </w:rPr>
        <w:t>E. 4.6.2</w:t>
      </w:r>
    </w:p>
    <w:p>
      <w:r>
        <w:t>Als Hausfrau obliegen der Gesuchstellerin keine beruflichen Ver- pflichtungen. Der Beschwerdeführer bringt in Bezug auf den Gesuchsteller einzig vor, dieser besitze ein Geschäft und Ländereien. Obwohl der Kauf von Ackerfläche mittels Kaufvertrags vom 6. Dezember 2020 sowie der Kauf eines Gewerbegeschäfts von 17 m2 im Jahr 2023 mit Urteil des Zivil- gerichts erster Instanz in E._______ vom 28. Mai 2023 bewiesen ist, reicht dies nicht aus, hinreichende berufliche Verpflichtungen des Gesuchstellers zu belegen. Es wird nicht substantiiert dargelegt, welche Art von Unterneh- men er führen soll, ob er Angestellte beschäftigt, welche Tätigkeiten er kon- kret zu welchem Entgelt ausüben und welchen Gewinn er erzielen soll. Ge- gen eine starke berufliche Verpflichtung spricht sodann, dass es ihm mög- lich wäre, für 11 Wochen abwesend zu sein. Sodann gab er im Visumsge- such an, keinen Beruf auszuüben («no occupation»).</w:t>
      </w:r>
    </w:p>
    <w:p>
      <w:r>
        <w:t>F-6854/2024 Seite 9</w:t>
      </w:r>
    </w:p>
    <w:p>
      <w:r>
        <w:rPr>
          <w:b/>
        </w:rPr>
        <w:t>E. 4.6.3</w:t>
      </w:r>
    </w:p>
    <w:p>
      <w:r>
        <w:t>In Bezug auf die Gesuchstellerin ist aktenkundig, dass sie mit Kauf- vertrag vom 10. Oktober 2010 ein Baugrundstück von 194 m2, mit Kaufver- trag vom 1. Juli 2019 eine Eigentumswohnung von 130 m2 sowie eine Kel- lerfläche von 50 m2 und mit Kaufvertrag vom 11. Januar 2011 ein Bau- grundstück von 500 m2 erworben hat. In Bezug auf den Gesuchsteller ist aktenkundig, dass er mit Kaufvertrag vom 1. Dezember 2018 eine Eigen- tumswohnung von 90 m2 und mit Kaufvertrag vom 1. September 2020 eine Eigentumswohnung von 160 m2 erworben hat. Des Weiteren ist auch der Kauf einer Ackerfläche sowie eines Gewerbegeschäfts belegt (vgl. E. 4.6.2). Es ist nicht ersichtlich, ob alle gekauften Grundstücke weiterhin im Eigentum der Gesuchstellerin beziehungsweise des Gesuchstellers ste- hen. Die Marktwerte sind aus den Unterlagen nicht ersichtlich. Es gilt zu bedenken, dass selbst Grundeigentum keine hinreichende Gewähr für eine fristgerechte und anstandslose Wiederausreise der Gesuchstellenden bie- tet, da Grundeigentum und andere Vermögenswerte bei einer Emigration nicht zwingend verloren gehen (vgl. BVGE 2014/1 E. 6.3.6; Urteil des BVGer F-1018/2024 vom 12. Dezember 2024 E. 5.6.2). Der Beschwerde- führer führt sodann nicht aus, welche Einnahmen der Gesuchsteller mit seinem Unternehmen generiert haben soll. Beide Gesuchstellende verfü- gen – soweit ersichtlich – über kein Bankkonto. Ebenso fehlen jegliche An- gaben über die Höhe ihres Vermögens. Die dargelegten wirtschaftlichen Verhältnisse können zwar aufgrund des belegten Grundeigentums beider Gesuchstellenden als ausreichend bis gut – jedoch nicht als ausseror- dentlich gut – bezeichnet werden. Sie sind im vorliegenden Fall ebenfalls nicht geeignet, die Prognose für eine fristgerechte Wiederausreise zu be- günstigen.</w:t>
      </w:r>
    </w:p>
    <w:p>
      <w:r>
        <w:rPr>
          <w:b/>
        </w:rPr>
        <w:t>E. 4.7</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 suchsaufenthalt besteht. An dieser Einschätzung ändert auch die aktuelle Situation in Syrien (vgl. E. 4.2) nichts. Vielmehr könnte die Ungewissheit über die zukünftige Entwicklung der Situation vor Ort das Risiko einer nicht fristgerechten und anstandslosen Wiederausreise noch weiter erhöhen. Die persönlichen Lebensumstände der Gesuchstellenden in Syrien – so- weit bekannt – lassen nicht auf eine ausreichende Gewähr für die fristge- rechte Wiederausreise schliessen. Ein Treffen mit den Kindern respektive Geschwistern und deren Familien kann ausserhalb des Schengenraums organisiert werden (vgl. Urteile des BVGer F-5352/2023 vom 27. Mai 2024 E. 6.6; F-886/2023 vom 19. Februar 2024 E. 6.3).</w:t>
      </w:r>
    </w:p>
    <w:p>
      <w:r>
        <w:t>F-6854/2024 Seite 10</w:t>
      </w:r>
    </w:p>
    <w:p>
      <w:r>
        <w:rPr>
          <w:b/>
        </w:rPr>
        <w:t>E. 4.8</w:t>
      </w:r>
    </w:p>
    <w:p>
      <w:r>
        <w:t>Bei diesem Ergebnis erübrigt es sich, weitere Einreisevoraussetzungen zu prüfen. Nach dem Gesagten wurde den Gesuchstellenden das Visum für den gesamten Schengen-Raum zu Recht verweigert. Gründe humani- tärer oder anderer Art, welche die Erteilung eines Visums mit räumlich be- schränkter Gültigkeit rechtfertigen würden, wurden nicht geltend gemacht und sind – trotz der Veränderung der Verhältnisse, die am 8. Dezember 2024 in Syrien eingetreten ist – auch nicht ersichtlich.</w:t>
      </w:r>
    </w:p>
    <w:p>
      <w:r>
        <w:rPr>
          <w:b/>
        </w:rPr>
        <w:t>E. 5</w:t>
      </w:r>
    </w:p>
    <w:p>
      <w:r>
        <w:t>Die angefochtene Verfügung erweist sich somit im Lichte von Art. 49 VwVG als rechtmässig und die Beschwerde ist abzuweisen.</w:t>
      </w:r>
    </w:p>
    <w:p>
      <w:r>
        <w:rPr>
          <w:b/>
        </w:rPr>
        <w:t>E. 6</w:t>
      </w:r>
    </w:p>
    <w:p>
      <w:r>
        <w:t>Bei diesem Ausgang des Verfahrens sind die Kosten dem Beschwerdefüh- rer aufzuerlegen (vgl. Art. 63 Abs. 1 VwVG i.V.m. Art. 1 ff. des Reglements vom 21. Februar 2008 über die Kosten und Entschädigungen vor dem Bun- desverwaltungsgericht [VGKE, SR 173.320.2]). Sie sind durch den am 12. November 2024 in gleicher Höhe geleisteten Kostenvorschuss ge- deckt. (Dispositiv nächste Seite)</w:t>
      </w:r>
    </w:p>
    <w:p>
      <w:r>
        <w:t>F-6854/2024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