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F-6848/2019 vom 10. Januar 2020</w:t>
      </w:r>
    </w:p>
    <w:p>
      <w:r>
        <w:t>Bundesverwaltungsgericht, 2020-01-10, DE</w:t>
      </w:r>
    </w:p>
    <w:p>
      <w:r>
        <w:rPr>
          <w:b/>
        </w:rPr>
        <w:t xml:space="preserve">Quelle: </w:t>
      </w:r>
      <w:r>
        <w:t>https://mcp.opencaselaw.ch/entscheid/bvger_F-6848_2019</w:t>
      </w:r>
    </w:p>
    <w:p>
      <w:r>
        <w:t>FR: TAF F-6848/2019 du 10 janvier 2020</w:t>
      </w:r>
    </w:p>
    <w:p>
      <w:r>
        <w:t>IT: TAF F-6848/2019 del 10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w:t>
      </w:r>
    </w:p>
    <w:p>
      <w:r>
        <w:rPr>
          <w:b/>
        </w:rPr>
        <w:t>E. 2</w:t>
      </w:r>
    </w:p>
    <w:p>
      <w:r>
        <w:t>Die Beschwerde erweist sich - trotz der ausnahmsweise aufgrund der Feiertage gewährten aufschiebenden Wirkung -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 Schliesslich gilt das Prinzip der Überprüfung eines Asylgesuchs durch einen einzigen Mitgliedstaat («one chance only»), welches der Vermeidung von multiplen Asylgesuchen in verschiedenen Staaten dient (Art. 3 Abs. 1 Dublin-III-VO).</w:t>
      </w:r>
    </w:p>
    <w:p>
      <w:r>
        <w:rPr>
          <w:b/>
        </w:rPr>
        <w:t>E. 5.1</w:t>
      </w:r>
    </w:p>
    <w:p>
      <w:r>
        <w:t>Ein Abgleich der Fingerabdrücke der Beschwerdeführerin mit der «Eurodac»-Datenbank ergab, dass sie am 13. Februar 2017 in Deutschland ein Asylgesuch gestellt hatte. Am 10. Dezember 2019 ersuchte die Vor-instanz die deutschen Behörden deshalb um Übernahme der Beschwerdeführerin gestützt auf Art. 18 Abs. 1 Bst. b Dublin-III-VO (SEM act. 4). Diese stimmten dem Übernahmeersuchen am 17. Dezember 2019 zu. Die Zustimmung stützte sich auf Art. 18 Abs. 1 Bst. d Dublin-III-VO (SEM act. 8). Die grundsätzliche Zuständigkeit Deutschlands ist somit gegeben. Dies wird auf Beschwerdeebene auch nicht bestritten.</w:t>
      </w:r>
    </w:p>
    <w:p>
      <w:r>
        <w:rPr>
          <w:b/>
        </w:rPr>
        <w:t>E. 5.2</w:t>
      </w:r>
    </w:p>
    <w:p>
      <w:r>
        <w:t>Nachfolgend ist demnach im Licht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In der Rechtsmitteleingabe vom 23. Dezember 2019 führte die Beschwerdeführerin im Wesentlichen aus, es gebe eine Reihe von subjektiven Gründen gegen eine Prüfung ihres Asylantrags durch Deutschland. So habe es einen Konflikt zwischen ihr und der Arbeiterwohlfahrt (AWO) gegeben. Sie habe dieser Organisation vorgeworfen, unter Beteiligung der Polizei Menschen zur Prostitution zu zwingen. Als Ergebnis dieser Konfrontation sei gegen sie wegen des Vorwurfs der Körperverletzung ein Strafverfahren eröffnet worden. In diesem Strafverfahren sei es zu Ungereimtheiten gekommen. Ihre Adresse sei sodann ständig mit Drohungen "bombardiert" worden. Da sie in Deutschland keine Rechte habe, sei sie nicht dagegen vorgegangen, sondern habe das Land verlassen. Die deutschen Migrationsbehörden wiederum hätten ihr Asylgesuch nur im Rahmen von Dublin-Verfahren geprüft und den wahren Weg ihrer Einreise in den Schengen-Raum verschwiegen. Ein Hauptgrund für den jetzigen Aufenthalt auf schweizerischem Gebiet sei jedoch, dass die deutschen Ärzte ihre Krankheit falsch diagnostiziert hätten. In Deutschland habe sie dadurch ein schweres psychisches Trauma erlitten. Überdies hege sie den Verdacht, Deutschland und Russland stünden wegen ihr in Kontakt untereinander. Abschliessend verwies die Beschwerdeführerin auf ihr schriftliches Asylgesuch vom 19. November 2019. Darin hatte sie Probleme mit der AWO, Polizisten, medizinischem Personal sowie generell Personen russischer Herkunft geltend gemacht, wodurch Deutschland ihr irreparablen Schaden zugefügt habe.</w:t>
      </w:r>
    </w:p>
    <w:p>
      <w:r>
        <w:rPr>
          <w:b/>
        </w:rPr>
        <w:t>E. 7.2</w:t>
      </w:r>
    </w:p>
    <w:p>
      <w:r>
        <w:t>Die Beschwerdeführerin hat kein konkretes und ernsthaftes Risiko dargetan, die deutschen Behörden würden sich weigern, sie wieder aufzunehmen und ihren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Deutschland seien derart schlecht, dass sie zu einer Verletzung von Art. 4 der EU-Grundrechtecharta, Art. 3 EMRK oder Art. 3 FoK führen könnten.</w:t>
      </w:r>
    </w:p>
    <w:p>
      <w:r>
        <w:rPr>
          <w:b/>
        </w:rPr>
        <w:t>E. 7.3</w:t>
      </w:r>
    </w:p>
    <w:p>
      <w:r>
        <w:t>Des Weiteren gibt es auch keine Hinweise für die Annahme, Deutschland würde der Beschwerdeführerin dauerhaft die ihr gemäss Aufnahmerichtlinie zustehenden minimalen Lebensbedingungen vorenthalten. Bei einer allfälligen vorübergehenden Einschränkung könnte sie sich nötigenfalls an die deutschen Behörden wenden und die ihr zustehenden Aufnahmebedingungen auf dem Rechtsweg einfordern (vgl. Art. 26 Aufnahmerichtlinie). Die deutschen Behörden haben dem Ersuchen der Schweiz zwar nicht gestützt auf Art. 18 Abs. 1 Bst. b Dublin-III-VO, sondern aufgrund von Art. 18 Abs. 1 Bst. d Dublin-III-VO zugestimmt. Da es sich hier um eine Überstellung im Rahmen des Dublin-Verfahrens handelt, obliegt es aber weiterhin den deutschen Behörden, das Asylverfahren durchzuführen. Auch wenn das Asylverfahren in Deutschland bereits rechtskräftig abgeschlossen sein sollte (was gemäss Mitteilung des Regierungspräsidiums Freiburg i.Br. vom 20. November 2017 der Fall ist [nicht paginiertes Aktenstück in SEM-Akten]), bleibt Deutschland gemäss Art. 18 Abs. 1 Bst. d Dublin-III-VO für das Verfahren bis zu einem allfälligen Wegweisungsvollzug bzw. einer Regelung des Aufenthalts nach wie vor zuständig (zum Ganzen vgl. etwa Urteile des BVGer F-6366/2019 vom 10. Dezember 2019 E. 7.3 oder D-2829/2019 vom 12. Juni 2019 S. 7). Anzumerken wäre, dass Deutschland über gut funktionierende Polizei- und Justizorgane verfügt, deren Hilfe die Beschwerdeführerin im Falle tatsächlicher Bedrohung durch Dritte in Anspruch nehmen könnte. Sollte sie sich durch deutsche Behörden ungerecht behandelt fühlen, steht es ihr ebenfalls offen, sich mit entsprechenden Vorkehren an die zuständigen Stellen zu wenden.</w:t>
      </w:r>
    </w:p>
    <w:p>
      <w:r>
        <w:rPr>
          <w:b/>
        </w:rPr>
        <w:t>E. 7.4</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7.5</w:t>
      </w:r>
    </w:p>
    <w:p>
      <w:r>
        <w:t>Eine solche Konstellation ist vorliegend nicht gegeben. Gemäss einem undatierten Bericht des «X._______-Krankenhaus» in Stuttgart unterzog sich die Beschwerdeführerin dort am 12. November 2019 wegen anhaltender Unterleibsschmerzen einer Untersuchung. Hierbei wurde ein Y._______ diagnostiziert und eine Z._______ empfohlen. Zwei Tage später begab sie sich allerdings zwecks Asylgesuchstellung in die Schweiz. Beim Eintritt ins Bundesasylzentrum wurde sie nicht als Medizinalfall registriert. Die sonstigen gesundheitlichen Leiden (Probleme mit Schilddrüse, Brennen am linken Bein, sinkender Hormonspiegel) sind nicht aktenkundig. Auch bezüglich des nunmehr geltend gemachten Traumas liegen keine Befunde vor. Dementsprechend gelingt es der Beschwerdeführerin nicht nachzuweisen, dass sie nicht reisefähig sei oder eine Überstellung ihre Gesundheit ernsthaft gefährden würde. Ihr Gesundheitszustand vermag eine Unzulässigkeit im Sinne dieser restriktiven Rechtsprechung nicht zu rechtfertigen. Die gesundheitlichen Probleme sind ferner nicht von einer derartigen Schwere, dass aus humanitären Gründen von einer Überstellung abgesehen werden müsste.</w:t>
      </w:r>
    </w:p>
    <w:p>
      <w:r>
        <w:rPr>
          <w:b/>
        </w:rPr>
        <w:t>E. 7.6</w:t>
      </w:r>
    </w:p>
    <w:p>
      <w:r>
        <w:t>Im Übrigen ist allgemein bekannt,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Deutschland der Beschwerdeführerin eine adäquate medizinische Behandlung verweigern würde. Entgegen ihrer Darstellung hat sie in Deutschland denn nachweislich Zugang zu fachärztlicher Betreuung erhalten und dem indizierten operativen Eingriff stünde dort nichts entgegen (siehe den bereits erwähnten Spitalbericht). Insbesondere ihre Befürchtungen, in diesem Land im Falle einer Operation oder sonstiger ärztlicher Vorkehren missbräuchlichen medizinischen Handlungen ausgesetzt zu sein, entbehren jeglicher Grundlage. Ebenso wenig wird ersichtlich, weswegen die Beschwerdeführerin sich aus medizinischer Sicht zwingend in der Schweiz aufhalten müsste.</w:t>
      </w:r>
    </w:p>
    <w:p>
      <w:r>
        <w:rPr>
          <w:b/>
        </w:rPr>
        <w:t>E. 7.7</w:t>
      </w:r>
    </w:p>
    <w:p>
      <w:r>
        <w:t>Festzuhalten gilt es der Vollständigkeit halber, dass die schweizerischen Behörden, die mit dem Vollzug der angefochtenen Verfügung beauftragt sind, den medizinischen Umständen bei der Bestimmung der konkreten Modalitäten der Überstellung der Beschwerdeführerin Rechnung tragen und die deutschen Behörden gegebenenfalls vorgängig in geeigneter Weise über die spezifischen medizinischen Umstände informieren (vgl. Art. 31 f. Dublin-III-VO).</w:t>
      </w:r>
    </w:p>
    <w:p>
      <w:r>
        <w:rPr>
          <w:b/>
        </w:rPr>
        <w:t>E. 7.8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7.9</w:t>
      </w:r>
    </w:p>
    <w:p>
      <w:r>
        <w:t>Nach dem Gesagten besteht kein Grund für eine Anwendung der Ermessensklauseln von Art. 17 Dublin-III-VO. Somit bleibt Deutschland der für die Behandlung des Asylgesuches der Beschwerdeführerin zuständige Mitgliedstaat gemäss Dublin-III-VO.</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Deutschland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