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F-6836/2019 vom 27. Februar 2020</w:t>
      </w:r>
    </w:p>
    <w:p>
      <w:r>
        <w:t>Bundesverwaltungsgericht, 2020-02-27, DE</w:t>
      </w:r>
    </w:p>
    <w:p>
      <w:r>
        <w:rPr>
          <w:b/>
        </w:rPr>
        <w:t xml:space="preserve">Quelle: </w:t>
      </w:r>
      <w:r>
        <w:t>https://mcp.opencaselaw.ch/entscheid/bvger_F-6836_2019</w:t>
      </w:r>
    </w:p>
    <w:p>
      <w:r>
        <w:t>FR: TAF F-6836/2019 du 27 février 2020</w:t>
      </w:r>
    </w:p>
    <w:p>
      <w:r>
        <w:t>IT: TAF F-6836/2019 del 27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Beschwerden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w:t>
      </w:r>
    </w:p>
    <w:p>
      <w:r>
        <w:t>In der Rechtsmitteleingabe wird eine Verletzung des Untersuchungsgrundsatzes sowie eine Verletzung des Rechts auf vorgängige Anhörung gerügt. Darauf gilt es vorerst einzugehen.</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Es genügt grundsätzlich, wenn sich die Partei in einem einzigen Verfahrensschritt zu allen relevanten Fragen äussern kann. Die aus Art. 29 Abs. 2 BV abgeleiteten Minimalgarantien geben keinen Anspruch darauf, mehrmals Gelegenheit zur Äusserung und Stellungnahme zu erhalten, soweit sich eine bestimmte (Sachverhalts-)Frage immer wieder unverändert gleich stellt (vgl. BGE 135 II 286 E. 5.1; BVGE 2009/35 E. 6.4.1 m.H.; Waldmann/Bickel, in: Praxiskommentar VwVG, 2. Aufl. 2016, Art. 30 N 37).</w:t>
      </w:r>
    </w:p>
    <w:p>
      <w:r>
        <w:rPr>
          <w:b/>
        </w:rPr>
        <w:t>E. 3.2</w:t>
      </w:r>
    </w:p>
    <w:p>
      <w:r>
        <w:t>Das SEM hat schliesslich auch die Pflicht, den rechtserheblichen Sachverhalt richtig und vollständig abzuklären (Art. 12 VwVG i.V.m. Art. 6 AsylG) und hierzu alle für das Verfahren rechtlich relevanten Umstände zu ermitteln und ordnungsgemäss darüber Beweis zu führen. Dabei hat es sämtliche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3.2.1</w:t>
      </w:r>
    </w:p>
    <w:p>
      <w:r>
        <w:t>Der Beschwerdeführer bemängelt, dass die Vorinstanz seinen Gesundheitszustand nur ungenügend abgeklärt habe. So habe das SEM in seinem Entscheid selber darauf verwiesen, dass die Ergebnisse weiterer durchgeführter oder geplanter Untersuchungen noch ausstehend seien (vgl. Rechtsmitteleingabe II Ziff. 12). Diese Rüge erweist sich hingegen als unbegründet, wie die sich in den vorinstanzlichen Akten befindenden medizinischen Unterlagen belegen. Der Beschwerdeführer wurde in der Schweiz eingehend ärztlich behandelt und dem SEM lagen mehrere medizinische Berichte, datiert vom 16. November, 4. und 14. Dezember 2019 vor, welche im Übrigen allesamt in der vorinstanzlichen Verfügung vom 17. Dezember 2019 aufgelistet und kurz zusammengefasst wurden. Das SEM setzte sich eingehend mit den gesundheitlichen Beschwerden (namentlich auch den Brustschmerzen) auseinander. Es kam zum Schluss, anhand der bestehenden Informationen sei nicht davon auszugehen, dass anlässlich der noch folgenden ärztlichen Untersuchungen eine Diagnose gestellt werde, welche die Rechtmässigkeit des Wegweisungsvollzugs zu verändern vermöchte. Dass das SEM die Ergebnisse des noch ausstehenden Berichts des [...] vom 9. Dezember 2019 nicht abgewartet hat, ist bei der bestehenden Aktenlage nicht zu beanstanden, da diesem keine ausschlaggebende Bedeutung für das vorliegende Verfahren beizumessen war (zur kardiologischen Untersuchung und der geplanten, aber nicht durchgeführten Verlaufskontrolle vgl. E. 7.3). Ergänzend gilt es darauf hinzuweisen, dass der vorgenannte kardiologische Bericht von der Vorinstanz in ihrer Vernehmlassung gewürdigt wurde, dieser hingegen an ihrer Einschätzung nichts zu ändern vermochte. Weiter wirft der Beschwerdeführer dem SEM vor, es habe seine psychischen Probleme nicht berücksichtigt. Aus den Akten gehe hervor, dass beim ihm eine psychogene Genese vorliege. Die Vorinstanz habe es jedoch trotz Untersuchungsmaxime unterlassen, weitere Untersuchungen zu veranlassen (vgl. Beschwerde II Ziff. 14). Zudem sei sie auch auf seine panikartige Angst, bald sterben zu müssen, nicht eingegangen (vgl. Beschwerde II Ziff. 15). Der Beschwerdeführer verkennt dabei, dass der Untersuchungsgrundsatz seine Grenze an der Mitwirkungspflicht der Asylsuchenden findet (Art. 8 AsylG; Art. 13 VwVG). Aufgrund der vorhandenen medizinischen Akten wie auch der Aussagen des Beschwerdeführers anlässlich des persönlichen Gesprächs vom 21. November 2019 bestand kein Anlass, seinen psychischen Zustand abklären zu lassen. Zu Recht verweist das SEM in seiner Vernehmlassung auf den Umstand, dass auch in keinem der vorhandenen Arztberichte eine psychologische Abklärung empfohlen wurde. Die in den ärztlichen Berichten aufgeführte Diagnose «Brustschmerzen im Rahmen psychischer Belastung» wurde sogar lediglich als eine (weitere) Differenzialdiagnose aufgeführt (vgl. Berichte vom 4. Dezember 2019 und 14. Dezember 2019). Der Vorwurf des Beschwerdeführers, das SEM habe seinen Entscheid auf eine unvollständige Sachverhaltsfeststellung gestützt, ist zusammenfassend unbegründet. In casu ist demnach nicht auf eine Verletzung des Untersuchungsgrundsatzes oder der Abklärungspflicht zu schliessen.</w:t>
      </w:r>
    </w:p>
    <w:p>
      <w:r>
        <w:rPr>
          <w:b/>
        </w:rPr>
        <w:t>E. 3.2.2</w:t>
      </w:r>
    </w:p>
    <w:p>
      <w:r>
        <w:t>Nicht vorzuwerfen ist überdies dem SEM, dass es den Beschwerdeführer im Hinblick auf die durchgeführten medizinischen Untersuchungen nicht erneut anhörte. Er konnte sich im Rahmen des persönlichen Gesprächs vom 21. November 2019 eingehend zu einer Zuständigkeit der Tschechischen Republik äussern, wobei er bereits damals auf Herzprobleme und Probleme im Bauchbereich hinwies.</w:t>
      </w:r>
    </w:p>
    <w:p>
      <w:r>
        <w:rPr>
          <w:b/>
        </w:rPr>
        <w:t>E. 3.3</w:t>
      </w:r>
    </w:p>
    <w:p>
      <w:r>
        <w:t>Insgesamt erweisen sich die formellen Rügen des Beschwerdeführers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über ein gültiges Visum verfügt, nach Massgabe der Art. 21, 22 und 29 Dublin-III-VO aufzunehmen (Art. 12 Abs. 1 Dublin-III-VO).</w:t>
      </w:r>
    </w:p>
    <w:p>
      <w:r>
        <w:rPr>
          <w:b/>
        </w:rPr>
        <w:t>E. 5.1</w:t>
      </w:r>
    </w:p>
    <w:p>
      <w:r>
        <w:t>Der aus einem Drittstaat kommende Beschwerdeführer verfügte über ein durch die tschechische Behörde ausgestelltes und zum Zeitpunkt des Asylgesuchs gültiges Visum. Das SEM ersuchte die tschechischen Behörden am 26. November 2019 um Aufnahme des Beschwerdeführers gestützt auf Art. 12 Abs. 2 oder 3 Dublin-III-VO. Diese stimmten dem Gesuch um Übernahme am 16. Dezember 2019 zu. Die grundsätzliche Zuständigkeit der Tschechischen Republik ist somit gegeben.</w:t>
      </w:r>
    </w:p>
    <w:p>
      <w:r>
        <w:rPr>
          <w:b/>
        </w:rPr>
        <w:t>E. 5.2</w:t>
      </w:r>
    </w:p>
    <w:p>
      <w:r>
        <w:t>Im Licht von Art. 3 Abs. 2 Dublin-III-VO ist zu prüfen, ob es wesentliche Gründe für die Annahme gibt, das Asylverfahren und die Aufnahmebedingungen für Asylsuchende in der Tschechischen Republik würden systemische Schwachstellen aufweisen, die eine Gefahr einer unmenschlichen oder entwürdigenden Behandlung im Sinne des Artikels 4 der EU-Grundrechtecharta mit sich bringen würden.</w:t>
      </w:r>
    </w:p>
    <w:p>
      <w:r>
        <w:rPr>
          <w:b/>
        </w:rPr>
        <w:t>E. 6.1</w:t>
      </w:r>
    </w:p>
    <w:p>
      <w:r>
        <w:t>Die Tschechische Republik ist Partei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und kommt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(nachfolgend: Aufnahmerichtlinie) ergeben.</w:t>
      </w:r>
    </w:p>
    <w:p>
      <w:r>
        <w:rPr>
          <w:b/>
        </w:rPr>
        <w:t>E. 6.2</w:t>
      </w:r>
    </w:p>
    <w:p>
      <w:r>
        <w:t>In seiner Rechtsmitteleingabe führt der Beschwerdeführer hingegen (mit Verweis auf diverse dort zitierte Berichte) im Wesentlichen aus, es sei davon auszugehen, dass das tschechische Asylwesen systemische Schwachstellen aufweise, die eine erhebliche Gefahr der unmenschlichen oder entwürdigenden Behandlung, insbesondere älterer und kranker Gesuchsteller mit sich bringen sowie das Non-Refoulement-Gebot verletzen würden. Daran könnten auch die theoretischen Ausführungen der Vor-instanz bezüglich Signatarstaat, Flüchtlingskonvention und EMRK nichts ändern. Wie das Bundesverwaltungsgericht und auch der Europäische Gerichtshof für Menschenrechte (EGMR) bereits unzählige Male festgestellt hätten, sei die Verpflichtung zur Einhaltung bestimmter internationaler Mindestvorgaben alleine keine Garantie dafür, dass diese tatsächlich eingehalten würden. Auch eine Anerkennungsquote bei Asylsuchenden in der Tschechischen Republik von 2.7% könne nicht anders verstanden werden, als dass eine Verletzung der Flüchtlingskonvention vorliegen müsse. Asylsuchende würden systematisch in Haft genommen und der Zugang zu Lebensnotwendigem bliebe ihnen vollends verwehrt. Tschechische psychiatrische Instutionen würden über zu wenig Personal verfügen und überdies mit veralteten Einrichtungen und zu wenig Geld operieren. Die tschechische Regierung nehme zudem eine migrationsfeindliche bis rassistische Haltung ein (vgl. Beschwerde II Ziff. 20 S. 8).</w:t>
      </w:r>
    </w:p>
    <w:p>
      <w:r>
        <w:rPr>
          <w:b/>
        </w:rPr>
        <w:t>E. 6.3</w:t>
      </w:r>
    </w:p>
    <w:p>
      <w:r>
        <w:t>Bislang haben jedoch weder das Bundesverwaltungsgericht noch der EGMR - und im Übrigen auch nicht der Europäische Gerichtshof (EuGH; - systemische Schwachstellen im tschechischen Asylsystem erkannt. Diesbezüglich sind auch die in der Beschwerde zitierten Berichte nicht geeignet, systemische Mängel zu belegen. Wie bereits das SEM in seiner Vernehmlassung geltend macht, betrifft der zitierte Bericht auf www.euractiv.com überdies die Zeit der Flüchtlingskrise im Jahr 2015, namentlich zwei Beschlüsse des Rats der Europäischen Union um Italien und Griechenland bei der Bewältigung des massiven Zustroms von Migranten zu unterstützen. Gemäss den Ausführungen der Generalanwältin Eleanor Sharpston haben Polen, Ungarn und die Tschechische Republik durch ihre Weigerung, den vorläufigen und zeitlich begrenzten obligatorischen Umsiedlungsmechanismus für Personen, die internationalen Schutz beantragt haben, umzusetzen, gegen ihre Verpflichtungen aus dem Unionsrecht verstossen (vgl. dazu Schlussanträge der Generalanwältin vom 31.10.2019 in Rechtssachen C-715/17, C-718/17 und C-719/17). Für das vorliegende Verfahren kann hingegen daraus nichts abgeleitet werden. Gemäss den bisherigen Erkenntnissen des Bundesverwaltungsgerichts ist weiterhin davon auszugehen, dass die Tschechische Republik die Verfahrensrichtlinie und die Aufnahmerichtlinie grundsätzlich einhält und dass insbesondere, was Dublin-Rückkehrer betrifft, ein rechtsstaatliches Asylverfahren mit Beschwerdemöglichkeit und der Zugang zu medizinischer Behandlung, die zumindest die Notversorgung und die unbedingt erforderliche Behandlung von Krankheiten und schweren psychischen Störungen umfasst, besteht (vgl. Art. 19 Abs. 1 und 2 Aufnahmerichtlinie). Unbehelflich ist dabei auch, dass die Lebensverhältnisse oder die medizinische Versorgung in der Schweiz günstiger sind. Entsprechend gibt es derzeit keinen Anlass, von einem systemischen Mangel betreffend die staatliche Unterstützung und Einrichtungen für Asylsuchende auszugehen (vgl. Urteile des BVGer F-5352/2019 vom 18. Oktober 2019 E. 6.2, E-2414/2019 vom 21. August 2019 E. 6; E-3183/2019 vom 27. Juni 2019 S. 6 f m.H.). Unter diesen Umständen ist die Anwendung von Art. 3 Abs. 2 Dublin-III-VO nicht gerechtfertigt.</w:t>
      </w:r>
    </w:p>
    <w:p>
      <w:r>
        <w:rPr>
          <w:b/>
        </w:rPr>
        <w:t>E. 7</w:t>
      </w:r>
    </w:p>
    <w:p>
      <w:r>
        <w:t>Jeder Mitgliedstaat kann abweichend von Art. 3 Abs. 1 Dublin-II-VO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7.1</w:t>
      </w:r>
    </w:p>
    <w:p>
      <w:r>
        <w:t>Der Beschwerdeführer fordert ausdrücklich die Anwendung der Ermessensklausel von Art. 17 Abs. 1 Dublin-III-VO. In diesem Zusammenhang macht er im Wesentlichen geltend, aufgrund seines fortgeschrittenen Alters und seiner körperlichen und psychischen Leiden sei er als besonders schutzbedürftiger Asylsuchender einzustufen. Seine Leidensgeschichte mache ihn von ständiger medizinischer Versorgung abhängig. Er sei dringendst auf regelmässige und korrekte Medikation angewiesen. Würde er nach Tschechien weggewiesen, so stünde ihm diese notwendige medizinische Versorgung wohl nicht zur Verfügung. Die Gefahr, dass er aufgrund dessen Opfer von unmenschlicher Behandlung nach Art. 3 EMRK würde, sei immanent (vgl. Beschwerde II Ziff. 19 S. 7).</w:t>
      </w:r>
    </w:p>
    <w:p>
      <w:r>
        <w:rPr>
          <w:b/>
        </w:rPr>
        <w:t>E. 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w:t>
      </w:r>
    </w:p>
    <w:p>
      <w:r>
        <w:t>Der Beschwerdeführer selbst gab anlässlich des persönlichen Gesprächs vom 21. November 2019 an, er hätte Herzprobleme, jedoch keine Diagnose. Auch habe er Probleme im Bauchbereich. Er habe hier Medikamente gegen die Schmerzen erhalten und es sei ein Arzttermin wegen der Herzprobleme vereinbart worden. Auch seien bereits Untersuchungen gemacht worden. Weiter führte er aus, er wüsste, dass er eines Tages sterben würde. Reisen sei nicht gut für seine Gesundheit. Vor etwa 15 Monaten habe er eine Operation am Herzen gehabt. Gemäss dem mit Replik eingereichten ärztlichen Bericht vom 29. Januar 2020 wurden bei ihm folgende Diagnosen gestellt: [...]. Nebst der entsprechenden Medikation wurde als medizinische Behandlung aufgrund von Knieschmerzen rechts im Rahmen einer Gonathrose eine Physiotherapie empfohlen. Ein Kontrolltermin sei vorerst nicht vorgesehen. Gemäss dem Bericht der Klinik für Kardiologie des [...] vom 9. Dezember 2019 seien die kardiologischen Untersuchungen noch durch eine Myokardszintigraphie ergänzt worden. Zu einer geplanten Verlaufskontrolle mit Besprechung der Resultate der Myokardszintigraphie sei der Beschwerdeführer nicht erschienen. Die thorakalen Beschwerden des Beschwerdeführers seien, wie vermutet, nicht ischämischer Genese. Eine Verlaufskontrolle sei nicht geplant.</w:t>
      </w:r>
    </w:p>
    <w:p>
      <w:r>
        <w:rPr>
          <w:b/>
        </w:rPr>
        <w:t>E. 7.4</w:t>
      </w:r>
    </w:p>
    <w:p>
      <w:r>
        <w:t>Die aktuellen gesundheitlichen Probleme des Beschwerdeführers stellen sich - auch in Anbetracht seines Alters - als nicht derart gravierend dar, als dass eine Überstellung in die Tschechische Republik eine tatsächliche Gefahr ("real risk") einer Verletzung von Art. 3 EMRK mit sich bringen würde. Der Beschwerdeführer versäumte es denn auch, seine behauptete Reiseunfähigkeit ärztlich zu belegen. Wie bereits erwähnt, sind die Mitgliedstaaten verpflichtet, den Antragstellern die notwendige erforderliche medizinische Versorgung zugänglich zu machen. Es liegen keine Hinweise vor, wonach dem Beschwerdeführer dort eine adäquate medizinische Behandlung verweigert würde. Die schweizerischen Behörden, die mit dem Vollzug der Wegweisung beauftragt sind, werden überdies den medizinischen Umständen bei der Bestimmung der konkreten Modalitäten der Überstellung Rechnung tragen und die tschechischen Behörden vorgängig in geeigneter Weise darüber informieren (vgl. Art. 31 f. Dublin-III-VO). Darauf hat auch die Vorinstanz in ihrer Verfügung hingewiesen und betont, die Reisefähigkeit des Beschwerdeführers werde kurz vor der Überstellung definitiv beurteilt. Weiter würden die tschechischen Behörden vorab über seinen Gesundheitszustand und die Behandlungserfordernisse informiert. Zusammenfassend ergibt sich, dass die gesundheitlichen Probleme des Beschwerdeführers seine Wegweisung nicht unzulässig bzw. unzumutbar erscheinen lassen.</w:t>
      </w:r>
    </w:p>
    <w:p>
      <w:r>
        <w:rPr>
          <w:b/>
        </w:rPr>
        <w:t>E. 7.5</w:t>
      </w:r>
    </w:p>
    <w:p>
      <w:r>
        <w:t>Darüber hinaus verfügt die Vorinstanz bei der Ausübung des Selbst-eintrittsrechts nach Art. 17 Abs. 1 Dublin-III-VO in Verbindung mit Art. 29a Abs. 3 AsylV1 über einen Ermessensspielraum (vgl. BVGE 2015/9 E. 7 f.). Den Akten sind keine Hinweise auf eine gesetzeswidrige Ermessensaus-übung durch das SEM zu entnehmen.</w:t>
      </w:r>
    </w:p>
    <w:p>
      <w:r>
        <w:rPr>
          <w:b/>
        </w:rPr>
        <w:t>E. 7.6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7.7</w:t>
      </w:r>
    </w:p>
    <w:p>
      <w:r>
        <w:t>Somit bleibt die Tschechische Republik der für die Behandlung des Asylgesuchs des Beschwerdeführers zuständige Mitgliedstaat. Dieser Staat ist verpflichtet, die Asylverfahren gemäss Art. 21, 22 und 29 Dublin-III-VO 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in die Tschechische Republik in Anwendung von Art. 44 AsylG ebenfalls zu Recht angeordnet (Art. 32 Bst. a AsylV 1).</w:t>
      </w:r>
    </w:p>
    <w:p>
      <w:r>
        <w:rPr>
          <w:b/>
        </w:rPr>
        <w:t>E. 9</w:t>
      </w:r>
    </w:p>
    <w:p>
      <w:r>
        <w:t>Da das Fehlen von Überstellungshindernissen bereits Voraussetzung eines Nichteintretensentscheides gemäss Art. 31a Abs. 1 Bst. b AsylG ist, sind allfällige Vollzugshindernisse gemäss Art. 83 Abs. 3 und 4 AIG (SR 142.20) unter diesen Umständen nicht mehr zu prüfen (vgl. BVGE 2015/18 E. 5.2 m.H.).</w:t>
      </w:r>
    </w:p>
    <w:p>
      <w:r>
        <w:rPr>
          <w:b/>
        </w:rPr>
        <w:t>E. 10</w:t>
      </w:r>
    </w:p>
    <w:p>
      <w:r>
        <w:t>Nach dem Gesagten ist die Beschwerde abzuweisen und die Verfügung des SEM zu bestätigen. Das Beschwerdeverfahren ist mit vorliegendem Urteil abgeschlossen.</w:t>
      </w:r>
    </w:p>
    <w:p>
      <w:r>
        <w:rPr>
          <w:b/>
        </w:rPr>
        <w:t>E. 11</w:t>
      </w:r>
    </w:p>
    <w:p>
      <w:r>
        <w:t>Abschliessend gilt es noch über das mit Beschwerde gestellte Gesuch um Gewährung der unentgeltlichen Prozessführung samt Rechtsverbeiständung und um Verzicht auf die Erhebung eines Kostenvorschusses zu befinden. Da die Beschwerde als nicht von vornherein als aussichtslos zu betrachten und von der Mittellosigkeit des Beschwerdeführers auszugehen ist, ist das Gesuch um unentgeltliche Prozessführung gemäss Art. 65 Abs. 1 VwVG gutzuheissen. Ebenso ist dem Gesuch um Beiordnung einer amtlichen Rechtsverbeiständung in der Person von Rechtsanwältin Lea Hungerbühler stattzugeben (vgl. Art. 102m Abs. 1 Bst. a AsylG). In der mit Rechtsmitteleingabe eingereichten Kostennote der Rechtsvertreterin sind Kosten von insgesamt Fr. 1'900.- ausgewiesen. Das dort verrechnete Honorar für die Praktikantin kann hingegen vorliegend nicht berücksichtigt werden (2 x 4h à je Fr. 100.-), da sie die in Art. 102m Abs. 3 AsylG statuierten Voraussetzungen nicht erfüllt. Das amtliche Honorar wird damit auf Fr. 1'100.-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