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F-682/2024 vom 8. Februar 2024</w:t>
      </w:r>
    </w:p>
    <w:p>
      <w:r>
        <w:t>Bundesverwaltungsgericht, 2024-02-08, DE</w:t>
      </w:r>
    </w:p>
    <w:p>
      <w:r>
        <w:rPr>
          <w:b/>
        </w:rPr>
        <w:t xml:space="preserve">Quelle: </w:t>
      </w:r>
      <w:r>
        <w:t>https://mcp.opencaselaw.ch/entscheid/bvger_F-682_2024</w:t>
      </w:r>
    </w:p>
    <w:p>
      <w:r>
        <w:t>FR: TAF F-682/2024 du 8 février 2024</w:t>
      </w:r>
    </w:p>
    <w:p>
      <w:r>
        <w:t>IT: TAF F-682/2024 del 8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Daraus ergibt sich, dass der Antrag auf Gewährung einer Nachfrist, um die Beschwerde zu ergänzen, abzuweisen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Stellen mehrere Familienangehörige in demselben Mitgliedstaat gleichzeitig oder in so grosser zeitlicher Nähe einen Antrag auf internationalen Schutz, dass die Verfahren zur Bestimmung des zuständigen Mitgliedstaats gemeinsam durchgeführt werden können, und könnte die Anwendung der in dieser Verordnung genannten Kriterien ihre Trennung zur Folge haben, so gilt für die Bestimmung des zuständigen Mitgliedstaats Folgendes: Zuständig für die Prüfung der Anträge auf internationalen Schutz sämtlicher Familienangehöriger ist der Mitgliedstaat, der nach den Kriterien für die Aufnahme des grössten Teils von ihnen zuständig ist; andernfalls ist für die Prüfung der Mitgliedstaat zuständig, der nach den Kriterien für die Prüfung des von dem ältesten von ihnen gestellten Antrags zuständig ist (vgl. Art. 11 Dublin-III-VO).</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w:t>
      </w:r>
    </w:p>
    <w:p>
      <w:r>
        <w:rPr>
          <w:b/>
        </w:rPr>
        <w:t>E. 3.4</w:t>
      </w:r>
    </w:p>
    <w:p>
      <w:r>
        <w:t>Ein Abgleich der Fingerabdrücke der Beschwerdeführerin 1 ergab, dass diese am 28. September 2023 in Kroatien daktyloskopisch erfasst wurde und an diesem Tag gemäss Auszug aus der «Eurodac»-Datenbank ein Asylgesuch stellte. Soweit die Beschwerdeführerin 1 moniert, zur Abgabe der Fingerabdrücke gezwungen worden zu sein, ist darauf hinzuweisen, dass die Abnahme der Fingerabdrücke von illegal einreisenden Ausländerinnen und Ausländern sich auf die Verordnung (EU) Nr. 603/2013 des Europäischen Parlaments und des Rates vom 26. Juni 2013 (Eurodac-Verordnung) stützt und sich folglich als legitim erweist (vgl. Urteile des BVGer F-1/2024 vom 8. Januar 2024 E. 4.5; F-599/2022 vom 14. Februar 2022 E. 3.3).</w:t>
      </w:r>
    </w:p>
    <w:p>
      <w:r>
        <w:rPr>
          <w:b/>
        </w:rPr>
        <w:t>E. 3.5</w:t>
      </w:r>
    </w:p>
    <w:p>
      <w:r>
        <w:t>Die kroatischen Behörden stimmten dem Wiederaufnahmeersuchen der Vorinstanz für sie und ihre beiden Kinder gestützt auf Art. 20 Abs. 5 Dublin-III-VO zu. In der Folge stimmten sie in Anwendung von Art. 11 Dublin-III-VO auch dem Aufnahmeersuchen des SEM für den Beschwerdeführer 2 zu. Somit sind sowohl die Antragsstellung in Kroatien als auch der Umstand, dass das kroatische Verfahren zur Bestimmung des für die Asylgesuche der Beschwerdeführenden 1 und ihrer Kinder sowie des für den Beschwerdeführer 2, der in Kroatien noch ein Asylgesuch stellen kann, zuständigen Mitgliedstaats gemäss Art. 20 Abs. 5 Dublin-III-VO in Verbindung mit Art. 11 Dublin III-VO noch nicht abgeschlossen wurde, als erstellt zu betrachten mit der Folge, dass das Verfahren nach einer Überstellung der Beschwerdeführerenden fortgesetzt beziehungsweise bei der ganzen Familie im gleichen Staat durchgeführt wird. Die Zuständigkeit Kroatiens ist grundsätzlich gegeben.</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(Wiederaufnahme-)Verfahren zulässig.</w:t>
      </w:r>
    </w:p>
    <w:p>
      <w:r>
        <w:rPr>
          <w:b/>
        </w:rPr>
        <w:t>E. 4.3</w:t>
      </w:r>
    </w:p>
    <w:p>
      <w:r>
        <w:t>Dementsprechend lassen die von den Beschwerdeführenden geltend gemachten Vorkommnisse in Kroatien (Internierung in einer Polizeistation mit den Kindern, Mangel an sauberem Wasser, an Nahrung [auch an Babynahrung] und an trockenen Kleidern, miserable hygienische Zustände, Anschreien in einer fremden Sprache), nicht den Schluss zu, ihnen würde bei einer Überstellung nach Kroatien der Zugang zum Asylverfahren verwehrt. Unter diesen Umständen ist die Anwendung von Art. 3 Abs. 2 Dublin-III-VO - auch unter Berücksichtigung der in der Beschwerde erwähnten Quellen, in welchen das kroatische Asylwesen kritisiert wird (so zwei Berichte der Schweizerischen Flüchtlingshilfe [SFH] vom 21. Februar 2023 und vom 13. September 2022 sowie mehrere Berichte von Human Rights Watch [HRW]) - nicht gerechtfertigt. Dies gilt auch für die Behauptungen der Beschwerdeführenden, die Garantien der UNO-Kinderrechtskonvention vom 20. November 1989 (CRC, SR 0.107) würden in Kroatien nicht gewährleistet.</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5.2</w:t>
      </w:r>
    </w:p>
    <w:p>
      <w:r>
        <w:t>Die Beschwerdeführerenden bringen sinngemäss vor, es sei nicht gewährleistet, dass sie als besonders verletzliche Personen in Kroatien angemessen untergebracht und ihnen effektiv Schutz gewährt werde oder ob ihnen nicht erneut eine unmenschliche Behandlung durch die lokalen Behörden drohe. Zudem befürchten sie, in die Türkei zurückgeschickt zu werden.</w:t>
      </w:r>
    </w:p>
    <w:p>
      <w:r>
        <w:rPr>
          <w:b/>
        </w:rPr>
        <w:t>E. 5.3</w:t>
      </w:r>
    </w:p>
    <w:p>
      <w:r>
        <w:t>Die Beschwerdeführenden vermögen nicht darzutun, dass sie bei einer Rückführung nach Kroatien eine unmenschliche oder erniedrigende Behandlung im Sinne von Art. 3 EMRK oder Art. 3 des Übereinkommens gegen Folter und andere grausame, unmenschliche oder erniedrigende Behandlung oder Strafe (FoK; SR 105) zu gewärtigen hätten. Sie werden auf legalem Weg nach Kroatien in die Hauptstadt Zagreb überstellt und nicht mit einer Situation konfrontiert, wie die Beschwerdeführenden 1, 3 und 4 sie in der kroatischen Provinz angeblich erlebt haben. Es bestehen auch keine Gründe für die Annahme, Kroatien werde den Grundsatz des Non-Refoulement missachten, zumal die kroatischen Behörden der Aufnahme gestützt auf Art. 20 Abs. 5 beziehungsweise Art. 18 Abs. 1 Bst. b (i.V.m. Art. 11) Dublin-III-VO explizit zugestimmt und sich damit bereit erklärt haben, die Verantwortung für die Fortführung ihrer Asylverfahren zu übernehmen.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Zudem steht ihnen die Möglichkeit offen, die vor Ort tätigen karitativen Organisationen zu kontaktieren.</w:t>
      </w:r>
    </w:p>
    <w:p>
      <w:r>
        <w:rPr>
          <w:b/>
        </w:rPr>
        <w:t>E. 5.4</w:t>
      </w:r>
    </w:p>
    <w:p>
      <w:r>
        <w:t>Die Beschwerdeführenden rügen weiter, Art. 16 Abs. 1 Dublin-III-VO hätte im Hinblick darauf, dass sie nicht von der (Verwandte) des Beschwerdeführers 2 (N ...), deren Asylgesuch in der Schweiz behandelt wird, getrennt werden dürften, zur Anwendung kommen müssen. Wie die Vorinstanz hierzu zu Recht ausführt, liegen keine Gründe gemäss Art. 16 Abs. 1 Dublin-III-VO vor, die Asylgesuche in der Schweiz zu prüfen, zumal die (Verwandte) des Beschwerdeführers 2 nicht als Familienangehörige im Sinne von Art. 2 Abs. 2 Bst. g Dublin-III-VO gilt. Zudem ist ein besonderes Abhängigkeitsverhältnis im Sinne von Art. 16 Abs. 1 Dublin-III-VO zwischen den Beschwerdeführenden 1-4 und der (Verwandte) des Beschwerdeführers 2 aus den Akten nicht ersichtlich.</w:t>
      </w:r>
    </w:p>
    <w:p>
      <w:r>
        <w:rPr>
          <w:b/>
        </w:rPr>
        <w:t>E. 5.5</w:t>
      </w:r>
    </w:p>
    <w:p>
      <w:r>
        <w:t>Des Weiteren besteht kein Grund zur Annahme, die Gesundheit der Beschwerdeführenden würde bei einer Überstellung der Familie nach Kroatien ernsthaft gefährdet.</w:t>
      </w:r>
    </w:p>
    <w:p>
      <w:r>
        <w:rPr>
          <w:b/>
        </w:rPr>
        <w:t>E. 5.5.1</w:t>
      </w:r>
    </w:p>
    <w:p>
      <w:r>
        <w:t>Gemäss den Akten wurde bei beiden Kindern am 2. November 2023 (d.h. einen Monat nach ihrer Ankunft in der Schweiz) und am 13. Dezember 2023 die Kinderklinik des Spitalzentrums (...) jeweils ambulant konsultiert. Dabei wurde bei der Beschwerdeführerin 3 ein viraler (...)infekt mit (...) mit (...) diagnostiziert, welcher antiypretisch und analgetisch therapiert wurde. Im Dezember wurde bei ihr nochmals ein polytoper, a.e. viraler Infekt festgestellt und antipyretisch behandelt. Ausserdem findet sich der Hinweis, dass sie seit dem Säuglingsalter immer wieder (...), auch ohne Infektion, was bereits in der Türkei abgeklärt worden sei, bei dort unauffälligem Befund. Dem neu eingereichten ärztlichen Bericht vom 5. Februar 2024 ist zu entnehmen, das klinisch rezidivierende (...) sei aktuell einer chronischen (...) zugehörig. Die Ursache sei noch nicht klar. Von infektiologischer Seite her sei bisher nichts gefunden worden. Es erhärte sich die Verdachtsdiagnose einer funktionellen (...), die aufgrund der psychosozialen Belastungssituation der Familie aufrecht erhalten bleibe. Die Familie stehe unter grossem Stress mit der Angst, auseinandergerissen zu werden. Beim Beschwerdeführer 4 wurde am 2. November 2023 eine (...) mit Verdacht auf (...) Superinfektion, einem (...) und einem politopen viralen Infekt mit (...) diagnostiziert und mit Miconazol-(...), die (...) mit Antibiotika sowie der virale Infekt antipyretisch behandelt. Für den im Dezember bei ihm festgestellten polytopen e.a. viralen Infekt und die beginnende (...) wurden eine symptomatische Therapie sowie eine zusätzliche Antipyrese bei Bedarf verordnet. Wie die Vorinstanz in ihrem Entscheid zu Recht feststellte, ist seither kein medizinischer Notfall mehr aktenkundig, die Kinder von ihren Infektionen mittlerweile genesen und es ist nicht ersichtlich, dass die hohe Schwelle für eine drohende Verletzung von Art. 3 EMRK überschritten würde. Daran ändert der nachgereichte Bericht zur Beschwerdeführerin 3 vom 5. Februar 2024 nichts, zumal deren geltend gemachten Beschwerden offenbar schon in ihrer Heimat bestanden, ohne dass diesbezüglich eine Diagnose gestellt worden wäre, und diese Beschwerden zudem ohne Weiteres in Kroatien behandelt werden können (siehe dazu hiernach E. 5.5.2 in fine).</w:t>
      </w:r>
    </w:p>
    <w:p>
      <w:r>
        <w:rPr>
          <w:b/>
        </w:rPr>
        <w:t>E. 5.5.2</w:t>
      </w:r>
    </w:p>
    <w:p>
      <w:r>
        <w:t>Hinsichtlich der Beschwerdeführenden 1 und 2 gehen keine Hinweise für eine allfällige Behandlungsnotwendigkeit aus den Akten hervor. Die Beschwerdeführerin 1 gab anlässlich des Dublin-Gesprächs an, sie leide an Durchfall. In der Folge finden sich hierzu keine Angaben dafür, dass sie eine weitere Behandlung benötigt hätte. Der Beschwerdeführer 2 gab im Dublin-Gespräch explizit zu Protokoll, es gehe ihm gesundheitlich gut. Auch die Beschwerde enthält keine substantiierten Vorbringen dazu, beziehungsweise finden die angeblichen schweren Beschwerden des Beschwerdeführers 2 in psychischer Hinsicht (vgl. Beschwerdeakte 1 Rz. 30 f.) weder in den Vorakten noch in den mit der Beschwerde eingereichten Belegen eine Basis. Dessen ungeachtet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Folglich droht keine Verletzung von Art. 3 EMRK.</w:t>
      </w:r>
    </w:p>
    <w:p>
      <w:r>
        <w:rPr>
          <w:b/>
        </w:rPr>
        <w:t>E. 5.6</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5.7</w:t>
      </w:r>
    </w:p>
    <w:p>
      <w:r>
        <w:t>Nach dem Gesagten erweisen sich die Rügen der unrichtigen und unvollständigen Sachverhaltsermittlung als nicht stichhaltig, weshalb das Eventualbegehren auf Rückweisung der Sache zur Neubeurteilung abzuweisen ist. Zudem besteht kein Anlass, die Vorinstanz anzuweisen, explizit Zusicherungen hinsichtlich Obdach, Nahrung und adäquate medizinische Versorgung bei den kroatischen Behörden einzuholen (vgl. Referenzurteil E-1488/2020 E. 12). Das entsprechende Subeventualbegehren ist ebenfalls abzuweisen.</w:t>
      </w:r>
    </w:p>
    <w:p>
      <w:r>
        <w:rPr>
          <w:b/>
        </w:rPr>
        <w:t>E. 6</w:t>
      </w:r>
    </w:p>
    <w:p>
      <w:r>
        <w:t>Die Vorinstanz ist demnach zu Recht auf die Asylgesuche der Beschwerdeführenden nicht eingetreten und hat ihre Wegweisung nach Kroatien angeordnet.</w:t>
      </w:r>
    </w:p>
    <w:p>
      <w:r>
        <w:rPr>
          <w:b/>
        </w:rPr>
        <w:t>E. 7</w:t>
      </w:r>
    </w:p>
    <w:p>
      <w:r>
        <w:t>Nach dem Gesagten ist die Beschwerde abzuweisen. Mit dem vorliegenden Urteil fällt der am 2. Februar 2024 angeordnete superprovisorische Vollzugsstopp dahin. Das Gesuch um Erteilung der aufschiebenden Wirkung ist gegenstandslos geworden.</w:t>
      </w:r>
    </w:p>
    <w:p>
      <w:r>
        <w:rPr>
          <w:b/>
        </w:rPr>
        <w:t>E. 8.1</w:t>
      </w:r>
    </w:p>
    <w:p>
      <w:r>
        <w:t>Die Beschwerdebegehren erweisen sich als aussichtslos, weshalb das Gesuch um unentgeltliche Prozessführung gestützt auf Art. 65 Abs. 1 VwVG e contrario abzuweisen ist.</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