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F-6821/2025 vom 13. Oktober 2025</w:t>
      </w:r>
    </w:p>
    <w:p>
      <w:r>
        <w:t>Bundesverwaltungsgericht, 2025-10-13, DE</w:t>
      </w:r>
    </w:p>
    <w:p>
      <w:r>
        <w:rPr>
          <w:b/>
        </w:rPr>
        <w:t xml:space="preserve">Quelle: </w:t>
      </w:r>
      <w:r>
        <w:t>https://mcp.opencaselaw.ch/entscheid/bvger_F-6821_2025</w:t>
      </w:r>
    </w:p>
    <w:p>
      <w:r>
        <w:t>FR: TAF F-6821/2025 du 13 octobre 2025</w:t>
      </w:r>
    </w:p>
    <w:p>
      <w:r>
        <w:t>IT: TAF F-6821/2025 del 13 ottobre 2025</w:t>
      </w:r>
    </w:p>
    <w:p>
      <w:pPr>
        <w:pStyle w:val="Heading2"/>
      </w:pPr>
      <w:r>
        <w:t>Regeste</w:t>
      </w:r>
    </w:p>
    <w:p>
      <w:r>
        <w:t>Zuweisung der Asylsuchenden an die Kantone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t>F-6821/2025 Seite 3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Flüchtlinge einen grundsätzlichen Anspruch auf Wahl ihres Aufent- haltsorts und kommt Art. 27 Abs. 3 AsylG auf diese nicht zu Anwendung (siehe Urteil des BVGer F-3852/2025 vom 4. Juli 2025 E. 2.2 und die dort zitierte Rechtsprechung; Art. 26 FK, Art. 58 AsylG, Art. 37 Abs. 3 AIG). Die Vorinstanz hat sich in der angefochtenen Verfügung mit der Rechtsstellung des Beschwerdeführers als Flüchtling und deren entscheidender Bedeu- tung im Rahmen der Kantonszuweisung nicht auseinandergesetzt. Damit hat sie ihre Begründungspflicht und folglich den zugrunde liegenden Ge- hörsanspruch des Beschwerdeführers verletzt (Art. 29 Abs. 2 BV). Ausser- dem hat sie nicht geprüft, ob einer Zuweisung in den Kanton C._______ ein Widerrufsgrund nach (Art. 37 Abs. 3 i.V.m.) Art. 63 AIG entgegensteht und, falls ja, ob sich eine hierauf gestützte Verweigerung der vom Be- schwerdeführer gewünschten Zuweisung an den Kanton C._______ als verhältnismässig erweist. Insofern erweist sich der rechtserhebliche Sach- verhalt als unvollständig abgeklärt und die Vorinstanz hat auch ihre dahin- gehende Pflicht verletzt (Art. 106 Abs. 1 Bst. b AsylG).</w:t>
      </w:r>
    </w:p>
    <w:p>
      <w:r>
        <w:rPr>
          <w:b/>
        </w:rPr>
        <w:t>E. 3</w:t>
      </w:r>
    </w:p>
    <w:p>
      <w:r>
        <w:t>In Gutheissung der Beschwerde ist deshalb die Dispositivziffer 3 der ange- fochtenen Verfügung aufzuheben die Sache zur vollständigen Sachver- haltsermittlung und gehörswahrenden Neubeurteilung im Sinne der Erwä- gungen an die Vorinstanz zurückzuweisen.</w:t>
      </w:r>
    </w:p>
    <w:p>
      <w:r>
        <w:rPr>
          <w:b/>
        </w:rPr>
        <w:t>E. 4</w:t>
      </w:r>
    </w:p>
    <w:p>
      <w:r>
        <w:t>Mit dem vorliegenden Urteil wird der Antrag auf Wiederherstellung der auf- schiebenden Wirkung, eventualiter (super-)provisorische Zuweisung an den Kanton C._______, gegenstandslos.</w:t>
      </w:r>
    </w:p>
    <w:p>
      <w:r>
        <w:rPr>
          <w:b/>
        </w:rPr>
        <w:t>E. 5.1</w:t>
      </w:r>
    </w:p>
    <w:p>
      <w:r>
        <w:t>Bei diesem Ausgang des Verfahrens sind keine Kosten zu erheben (Art. 63 Abs. 1 und 2 VwVG). Das Gesuch um unentgeltliche Prozessfüh- rung ist damit gegenstandlos geworden.</w:t>
      </w:r>
    </w:p>
    <w:p>
      <w:r>
        <w:t>F-6821/2025 Seite 4</w:t>
      </w:r>
    </w:p>
    <w:p>
      <w:r>
        <w:rPr>
          <w:b/>
        </w:rPr>
        <w:t>E. 5.2</w:t>
      </w:r>
    </w:p>
    <w:p>
      <w:r>
        <w:t>Eine Parteientschädigung ist dem Beschwerdeführer trotz seines Ob- siegens nicht zuzusprechen, da es sich vorliegend um eine zugewiesene unentgeltliche Rechtsvertretung im Sinne von Art. 102h AsylG handelt, de- ren Leistungen vom Bund nach Massgabe von Art. 102k AsylG entschädigt werden (vgl. auch Art. 111ater AsylG). (Dispositiv nächste Seite)</w:t>
      </w:r>
    </w:p>
    <w:p>
      <w:r>
        <w:t>F-6821/2025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