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F-681/2024 vom 23. Mai 2024</w:t>
      </w:r>
    </w:p>
    <w:p>
      <w:r>
        <w:t>Bundesverwaltungsgericht, 2024-05-23, DE</w:t>
      </w:r>
    </w:p>
    <w:p>
      <w:r>
        <w:rPr>
          <w:b/>
        </w:rPr>
        <w:t xml:space="preserve">Quelle: </w:t>
      </w:r>
      <w:r>
        <w:t>https://mcp.opencaselaw.ch/entscheid/bvger_F-681_2024</w:t>
      </w:r>
    </w:p>
    <w:p>
      <w:r>
        <w:t>FR: TAF F-681/2024 du 23 mai 2024</w:t>
      </w:r>
    </w:p>
    <w:p>
      <w:r>
        <w:t>IT: TAF F-681/2024 del 23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 und Art. 37 VGG).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Beschwerdeanhebung legitimiert (vgl. Art. 48 Abs. 1 VwVG). Auf die frist- und formgerecht eingereichte Beschwerde ist einzutreten (vgl.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Wie sich aus den nachfolgenden Erwägungen ergibt, erweist sich die Beschwerde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3.1</w:t>
      </w:r>
    </w:p>
    <w:p>
      <w:r>
        <w:t>Im Asylverfahren wie im übrigen Verwaltungsverfahren gilt der Untersuchungsgrundsatz. Das heisst, die 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3.2</w:t>
      </w:r>
    </w:p>
    <w:p>
      <w:r>
        <w:t>Der Beschwerdeführer rügt in seiner Rechtsmitteleingabe vom 1. Februar 2024 eine Verletzung des Untersuchungsgrundsatzes. Nach der an sie gerichteten Anfrage des Zivilstandsamts vom 17. Januar 2024 sei die Vorinstanz mit Blick auf Art. 8 EMRK verpflichtet gewesen, die Beziehung zu seiner Verlobten näher abzuklären.</w:t>
      </w:r>
    </w:p>
    <w:p>
      <w:r>
        <w:rPr>
          <w:b/>
        </w:rPr>
        <w:t>E. 3.3</w:t>
      </w:r>
    </w:p>
    <w:p>
      <w:r>
        <w:t>Dem ist - in Anbetracht der vorliegenden Umstände - nicht so. Wie der angefochtenen Verfügung (S. 9) entnommen werden kann, hat sich die Vorinstanz aufgrund der zivilstandsamtlichen Zuschrift vom 17. Januar 2024 mit der Frage auseinandergesetzt, ob dem allfällig eingeleiteten Ehevorbereitungsverfahren eine bereits vor der Eheschliessung grundrechtlich geschützte Beziehung zugrunde liegen könnte. Dies verneinte sie mit der Begründung, dass der Beschwerdeführer weder anlässlich des Dublin-Gesprächs noch im weiteren Verfahrensverlauf eine Partnerschaft erwähnt habe und auch keine Bemühungen gezeigt habe, eine solche führen zu wollen (wie beispielsweise durch Einreichung eines Antrags auf Unterbringung in einer Privatunterkunft). Diese Sachverhaltswürdigung ist nicht zu beanstanden. Daran ändert auch nichts, wenn der Beschwerdeführer auf Beschwerdeebene vorbringt, er habe bereits im Dublin-Gespräch geltend gemacht, sich in der Türkei verlobt zu haben. Gemäss Gesprächsprotokoll, welches er nach Rückübersetzung und in Anwesenheit seiner damaligen Rechtsvertretung vorbehaltlos unterzeichnete, erwähnte er seine Beziehung weder auf Nachfrage nach Verwandten in der Schweiz, noch auf Nachfrage nach Gründen, die gegen eine Wegweisung nach Kroatien sprechen würden (SEM-act. 14/3).</w:t>
      </w:r>
    </w:p>
    <w:p>
      <w:r>
        <w:rPr>
          <w:b/>
        </w:rPr>
        <w:t>E. 3.4</w:t>
      </w:r>
    </w:p>
    <w:p>
      <w:r>
        <w:t>Nach dem Gesagten durfte die Vorinstanz in antizipierter Beweiswürdigung davon ausgehen, dass weitere Abklärungen - insbesondere auch zum Stand eines allfälligen Ehevorbereitungsverfahrens - nichts an der Feststellung zu ändern vermöchten, dass zwischen dem Beschwerdeführer und seiner allenfalls Verlobten keine Konkubinatsbeziehung von eheähnlicher Intensität und Stabilität vorliegt. Sie hat durch den Verzicht auf weitere Abklärungen ihre Pflicht zur Ermittlung des rechtserheblichen Sachverhalts nicht verletzt.</w:t>
      </w:r>
    </w:p>
    <w:p>
      <w:r>
        <w:rPr>
          <w:b/>
        </w:rPr>
        <w:t>E. 3.5</w:t>
      </w:r>
    </w:p>
    <w:p>
      <w:r>
        <w:t>Gleichsam sind im vorliegenden Beschwerdeverfahren in antizipierter Beweiswürdigung die Anträge auf Befragung der Verlobten des Beschwerdeführers und auf Befragung des Zivilstandsamts abzulehnen. Es ist nicht ersichtlich, inwiefern die beantragten Beweismassnahmen zur entscheiderheblichen Ergänzung des relevanten Sachverhalts tauglich wären. Weitere Sachverhaltsabklärungen sind auch im jetzigen Zeitpunkt nicht geboten (vgl. dazu unten E. 7.10 ff.).</w:t>
      </w:r>
    </w:p>
    <w:p>
      <w:r>
        <w:rPr>
          <w:b/>
        </w:rPr>
        <w:t>E. 4.1</w:t>
      </w:r>
    </w:p>
    <w:p>
      <w:r>
        <w:t>Nachfolgend ist zu prüfen, ob die Vorinstanz auf das Asylgesuch des Beschwerdeführers zu Recht in Anwendung von Art. 31a Abs. 1 Bst. b AsylG nicht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w:t>
      </w:r>
    </w:p>
    <w:p>
      <w:r>
        <w:rPr>
          <w:b/>
        </w:rPr>
        <w:t>E. 4.3</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4.4</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5.1</w:t>
      </w:r>
    </w:p>
    <w:p>
      <w:r>
        <w:t>Ein Abgleich der Fingerabdrücke des Beschwerdeführers mit der Eurodac-Datenbank ergab, dass dieser vor seiner Einreise in die Schweiz am 14. September 2023 in Kroatien um Asyl nachgesucht hatte, weshalb die Vorinstanz zu Recht gestützt auf Art. 18 Abs. 1 Bst. b Dublin-III-VO die kroatischen Behörden um Wiederaufnahme des Beschwerdeführers ersuchte. Diese haben dem Wiederaufnahmegesuch der Vorinstanz fristgerecht gestützt auf Art. 20 Abs. 5 Dublin-III-VO ausdrücklich zugestimmt.</w:t>
      </w:r>
    </w:p>
    <w:p>
      <w:r>
        <w:rPr>
          <w:b/>
        </w:rPr>
        <w:t>E. 5.2</w:t>
      </w:r>
    </w:p>
    <w:p>
      <w:r>
        <w:t>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 mit der Folge, dass das Verfahren nach einer Rücküberstellung des Beschwerdeführers fortgesetzt wird. Dem Einwand des Beschwerdeführers, er sei in Kroatien zur Abgabe seiner Fingerabdrücke gezwungen worden, ist entgegenzuhalten, dass die Fingerabdruckabnahme bei illegal einreisenden ausländischen Personen und Asylsuchenden auf Art. 14 Abs. 1 der Verordnung (EU) Nr. 603/2013 des Europäischen Parlaments und des Rates vom 26. Juni 2013 (Eurodac-Verordnung) beruht. Es liegen entgegen der Ansicht des Beschwerdeführers keine Anhaltspunkte dafür vor, dass die kroatischen Behörden sein Gesuch nicht im Sinne von Art. 18 Abs. 2 Dublin-III-VO weiterbehandeln würden (vgl. Urteil des BVGer F-5409/2023 vom 11. Oktober 2023 E. 4.4).</w:t>
      </w:r>
    </w:p>
    <w:p>
      <w:r>
        <w:rPr>
          <w:b/>
        </w:rPr>
        <w:t>E. 5.3</w:t>
      </w:r>
    </w:p>
    <w:p>
      <w:r>
        <w:t>Die grundsätzliche Zuständigkeit Kroatiens für die Durchführung des Asyl- und Wegweisungsverfahrens ist somit gegeben.</w:t>
      </w:r>
    </w:p>
    <w:p>
      <w:r>
        <w:rPr>
          <w:b/>
        </w:rPr>
        <w:t>E. 6.1</w:t>
      </w:r>
    </w:p>
    <w:p>
      <w:r>
        <w:t>In der Beschwerdeschrift werden Gewalt seitens der Polizeibehörden, fehlender Rechtsschutz, inadäquate Unterbringungsbedingungen, Kettenabschiebungen, medizinische Versorgungsprobleme, fehlender Zugang zum Asylverfahren und mithin systemische Mängel des kroatischen Asyl- und Aufnahmesystems geltend gemacht. Gestützt darauf fordert der Beschwerdeführer die Anwendung von Art. 3 Abs. 2 Dublin-III-VO.</w:t>
      </w:r>
    </w:p>
    <w:p>
      <w:r>
        <w:rPr>
          <w:b/>
        </w:rPr>
        <w:t>E. 6.2</w:t>
      </w:r>
    </w:p>
    <w:p>
      <w:r>
        <w:t>Eventualiter fordert er die Anwendung des Selbsteintrittsrechts nach Art. 17 Abs. 1 Satz 1 Dublin-III-VO beziehungsweise Art. 29a Abs. 3 AsylV 1. Er macht geltend, dass er nach seiner Einreise in Kroatien am 11. September 2023 von der Polizei aufgegriffen und auf den Polizeiposten mitgenommen worden sei, wo ihm sämtliche Gegenstände weggenommen worden seien und er auf dem Boden kniend getreten worden sei. Er sei in eine Zelle gesteckt worden mit dem Hinweis, dass er aus dieser nicht rauskommen würde, ohne ein paar Dokumente zu unterschreiben. Danach sei er hinausgeworfen worden und habe einen Zettel erhalten, wonach er Kroatien alsbald zu verlassen habe. Erst in der Schweiz sei ihm mitgeteilt worden, dass seine unter Zwang erfolgte Unterschrift ein Asylgesuch war. Auch sei ihm bereits angedroht worden, strafrechtlich verurteilt zu werden aufgrund der Flucht seines Schleppers vor der Polizei. Es liege ein reales Risiko einer unmenschlichen Behandlung im Sinne von Art. 3 EMRK vor, wenn er nach Kroatien rücküberstellt werde. Schliesslich habe es die Vorinstanz trotz seiner psychischen Probleme unterlassen, seinen psychologischen Zustand abzuklären.</w:t>
      </w:r>
    </w:p>
    <w:p>
      <w:r>
        <w:rPr>
          <w:b/>
        </w:rPr>
        <w:t>E. 6.3</w:t>
      </w:r>
    </w:p>
    <w:p>
      <w:r>
        <w:t>In seiner Stellungnahme vom 23. Februar 2024 rügt der Beschwerdeführer sodann im Wesentlichen eine Verletzung von Art. 8 EMRK durch die verfügte Rücküberstellung des Beschwerdeführers nach Kroatien sowie eine Verletzung von Art. 14 BV dadurch, dass die Vorinstanz das eingeleitete Ehevorbereitungsverfahren blockiere, um das Dublin-Verfahren «durchzudrücken». Die «Aussetzung der Weiterbehandlung des Eheanerkennungsverfahrens» stelle eine unverhältnismässige Grundrechtsverletzung dar.</w:t>
      </w:r>
    </w:p>
    <w:p>
      <w:r>
        <w:rPr>
          <w:b/>
        </w:rPr>
        <w:t>E. 7.1</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 seither bestätigt in zahlreichen Urteilen, vgl. statt vieler Urteile des BVGer D-7037/2023 vom 9. Januar 2024 E. 6.4; F-5666/2023 vom 29. November 2023 E. 5.3; D-5113/2023 vom 6. November 2023 E. 7.2).</w:t>
      </w:r>
    </w:p>
    <w:p>
      <w:r>
        <w:rPr>
          <w:b/>
        </w:rPr>
        <w:t>E. 7.2</w:t>
      </w:r>
    </w:p>
    <w:p>
      <w:r>
        <w:t>Für ein Abweichen von dieser aktuellen, auf einer Gesamtbetrachtung diverser staatliche und nichtstaatlicher Quellen sowie der Rechtsprechung anderer Dublin-Mitgliedstaaten beruhenden Beurteilung des Bundesverwaltungsgerichts besteht auch angesichts der Einwände des Beschwerdeführers und der von ihm zitierten kritischen Berichte mehrerer nationaler und internationaler Nichtregierungsorganisationen (Bericht Schweizerische Flüchtlingshilfe vom 21. Februar 2023 und September 2022, Human Rights Watch Croatia vom Mai 2023 sowie 15. Juli 2019; Bericht des ECCHR [European Center for Constitutional and Human Rights] vom Februar 2023; Asylum Information Database [AIDA] Croatia 2021 [alle Rz. 8-16 der Beschwerde, BVGer-act. 1]), des Berichts des Schweizer Radio und Fernsehens (SRF) vom 6. Oktober 2021 (Rz. 10) sowie des Beschlusses des Verwaltungsgerichts Stuttgart vom 2. September 2022 (Rz. 12) kein Anlass.</w:t>
      </w:r>
    </w:p>
    <w:p>
      <w:r>
        <w:rPr>
          <w:b/>
        </w:rPr>
        <w:t>E. 7.3</w:t>
      </w:r>
    </w:p>
    <w:p>
      <w:r>
        <w:t>Zur geforderten Ausübung des Selbsteintrittsrechts ist sodann festzuhalten was folgt.</w:t>
      </w:r>
    </w:p>
    <w:p>
      <w:r>
        <w:rPr>
          <w:b/>
        </w:rPr>
        <w:t>E. 7.4</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7.5</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7.6</w:t>
      </w:r>
    </w:p>
    <w:p>
      <w:r>
        <w:t>Im Dublin-Gespräch gab der Beschwerdeführer in Bezug auf Kroatien lediglich an, dass ihm sämtliche Gegenstände weggenommen worden seien und sein Freund getreten worden sei. Erst in der Beschwerdeschrift vom 1. Februar 2024 machte er zusätzlich geltend, er sei auf dem Boden kniend getreten worden. Der Beschwerdeführer vermag damit nicht rechtsgenügend darzutun, dass die von ihm bei einer Rückführung nach Kroatien zu erwartenden Bedingungen derart schlecht wären, dass sie zu einer Verletzung von Art. 4 der EU-Grundrechtecharta, Art. 3 EMRK beziehungsweise Art. 1 FoK führen würden.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 Bundesverwaltungsgericht geht davon aus, dass sich der Beschwerdeführer nach der Dublin-Rücküberstellung in einer anderen Situation als bei der ersten Einreise nach Kroatien befinden wird (vgl. Urteil des BVGer E-1488/2020 vom 22. März 2023 E. 9.4 m.w.H.). Bei einer allfälligen vorübergehenden Einschränkung der ihm zustehenden Aufnahmebedingungen könnte er sich nötigenfalls an die kroatischen Behörden wenden und ihre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 Für ein Abweichen von dieser Beurteilung besteht unter Berücksichtigung des aktuellen Referenzurteils des Bundesverwaltungsgerichts (vgl. E. 7.1) auch angesichts der vom Beschwerdeführer zitierten Berichte kein Anlass.</w:t>
      </w:r>
    </w:p>
    <w:p>
      <w:r>
        <w:rPr>
          <w:b/>
        </w:rPr>
        <w:t>E. 7.7</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180 - 193; letzteres bestätigt durch Urteil des EGMR Savran gegen Dänemark vom 7. Dezember 2021, Grosse Kammer, 57467/15, §§ 121 ff.).</w:t>
      </w:r>
    </w:p>
    <w:p>
      <w:r>
        <w:rPr>
          <w:b/>
        </w:rPr>
        <w:t>E. 7.8</w:t>
      </w:r>
    </w:p>
    <w:p>
      <w:r>
        <w:t>Der Beschwerdeführer gab im Dublin-Gespräch an, dass es ihm gesundheitlich gut gehe (SEM-act. 14/3). Auch dem Notfallkonsultationsbericht vom 3. Oktober 2023 und dem Verlaufsblatt der medizinischen Betreuung (SEM-act. 20/2; 24/2) sind keine Hinweise auf psychische oder sonstige gesundheitliche Probleme zu entnehmen und die in der Beschwerdeschrift unsubstantiiert vorgebrachten psychischen Probleme können aufgrund der Akten nicht objektiviert werden. Es sind keine gesundheitlichen Gründe im Sinne von Art. 3 EMRK ersichtlich, welche einer Überstellung entgegenstehen würden.</w:t>
      </w:r>
    </w:p>
    <w:p>
      <w:r>
        <w:rPr>
          <w:b/>
        </w:rPr>
        <w:t>E. 7.9</w:t>
      </w:r>
    </w:p>
    <w:p>
      <w:r>
        <w:t>Was sodann die gerügte Verletzung der grundrechtlichen Ansprüche des Beschwerdeführers auf Achtung seines Familienlebens (Art. 8 EMRK) und auf Eheschliessung (Art. 14 BV) betrifft, wurde vorstehend bereits dargelegt, dass die Vorinstanz in der angefochtenen Verfügung zu Recht davon ausging, dass zwischen dem Beschwerdeführer und seiner allenfalls Verlobten keine Konkubinatsbeziehung von eheähnlicher Intensität und Stabilität vorliegt, welche durch Art. 8 EMRK geschützt wäre.</w:t>
      </w:r>
    </w:p>
    <w:p>
      <w:r>
        <w:rPr>
          <w:b/>
        </w:rPr>
        <w:t>E. 7.10</w:t>
      </w:r>
    </w:p>
    <w:p>
      <w:r>
        <w:t>Die zwischenzeitlich erfolgten gerichtlichen Abklärungen zum Austausch zwischen der Vorinstanz und dem Zivilstandsamt - wonach am Tag der Eröffnung des vorliegend angefochtenen Nichteintretensentscheids die Verlobte des Beschwerdeführers effektiv ein Ehevorbereitungsverfahren eingeleitet hat, welches seither hängig ist - führen zu keiner anderen Beurteilung. Dies umso weniger, als der Beschwerdeführer die geltend gemachte Beziehung zwischen den Verlobten auch im Rahmen des ihm zu den gerichtlichen Abklärungen gewährten rechtlichen Gehörs nicht weiter substantiiert, sondern lediglich die Nachreichung von Fotos in Aussicht gestellt hat. Mit einer solchen Beweisofferte anstelle substantiierter Vorbringen genügt der Beschwerdeführer der ihm obliegenden Mitwirkungspflicht nicht, zumal im bekanntermassen eng getakteten Dublin-Verfahren. Angesichts dessen und unter Berücksichtigung der dargelegten Gesamtumstände sieht sich das Gericht in antizipierter Beweiswürdigung nicht veranlasst, Fotos vom Beschwerdeführer einzuverlangen.</w:t>
      </w:r>
    </w:p>
    <w:p>
      <w:r>
        <w:rPr>
          <w:b/>
        </w:rPr>
        <w:t>E. 7.11</w:t>
      </w:r>
    </w:p>
    <w:p>
      <w:r>
        <w:t>Ebenso wenig verfängt das Vorbringen des Beschwerdeführers, das Führen einer eheähnlichen Beziehung vor der Eheschliessung falle für ihn und seine Verlobte aus religiösen Gründen ausser Betracht. So erscheint zumindest fraglich, dass der zivilrechtlichen Eheschliessung aus religiöser Perspektive die geltend gemachte Bedeutung zukommt. Vor allem aber ändern die Beweggründe der Verlobten für einen Verzicht auf eine potentiell grundrechtlich geschützte voreheliche Beziehung nichts am Fehlen einer solchen Beziehung.</w:t>
      </w:r>
    </w:p>
    <w:p>
      <w:r>
        <w:rPr>
          <w:b/>
        </w:rPr>
        <w:t>E. 7.12</w:t>
      </w:r>
    </w:p>
    <w:p>
      <w:r>
        <w:t>Ein Selbsteintritt zum Schutz grundrechtlich geschützten Familienlebens fällt somit ausser Betracht. Gleiches gilt eine Anwendung von Art. 9 Dublin-III-VO, wobei ohnehin weder geltend gemacht wird noch aus den Akten ersichtlich ist, dass bei der Verlobten des Beschwerdeführers um eine Person um eine Begünstigte internationalen Schutzes im Sinne dieser Bestimmung handeln würde.</w:t>
      </w:r>
    </w:p>
    <w:p>
      <w:r>
        <w:rPr>
          <w:b/>
        </w:rPr>
        <w:t>E. 7.13</w:t>
      </w:r>
    </w:p>
    <w:p>
      <w:r>
        <w:t>Ferner verletzt die angefochtene Nichteintretens- und Überstellungsverfügung auch das Recht des Beschwerdeführers auf Eheschliessung (Art. 14 BV) nicht. Es steht diesem frei, das hängige Ehevorbereitungsverfahren aus dem Ausland weiterzuverfolgen (vgl. Art. 62 ff. der Zivilstandsverordnung vom 28. April 2004 [ZStV, SR 211.112.2]).</w:t>
      </w:r>
    </w:p>
    <w:p>
      <w:r>
        <w:rPr>
          <w:b/>
        </w:rPr>
        <w:t>E. 7.14</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7.15</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i.V.m. Art. 17 Dublin-III-VO.</w:t>
      </w:r>
    </w:p>
    <w:p>
      <w:r>
        <w:rPr>
          <w:b/>
        </w:rPr>
        <w:t>E. 8</w:t>
      </w:r>
    </w:p>
    <w:p>
      <w:r>
        <w:t>Nach den obigen Darlegungen (E. 7) erscheint es auch nicht angezeigt, die Vorinstanz im Sinne des Subeventualantrags dazu zu verpflichten, von den kroatischen Behörden vor einer Überstellung individuelle Zusicherungen, namentlich bezüglich Obdach, Nahrung und einer adäquaten, regelmässigen medizinischen sowie psychologischen Behandlung einzuholen.</w:t>
      </w:r>
    </w:p>
    <w:p>
      <w:r>
        <w:rPr>
          <w:b/>
        </w:rPr>
        <w:t>E. 9</w:t>
      </w:r>
    </w:p>
    <w:p>
      <w:r>
        <w:t>Die Vorinstanz ist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 Nach dem Gesagten ist die Beschwerde insoweit abzuweisen.</w:t>
      </w:r>
    </w:p>
    <w:p>
      <w:r>
        <w:rPr>
          <w:b/>
        </w:rPr>
        <w:t>E. 10</w:t>
      </w:r>
    </w:p>
    <w:p>
      <w:r>
        <w:t>Das Gesuch um Erteilung der aufschiebenden Wirkung und entsprechende Anweisung der kantonalen Behörden ist mit Ausfällung des vorliegenden Endentscheids gegenstandslos geworden und der am 2. Februar 2024 verfügte Vollzugsstopp fällt mit dem vorliegenden Urteil dahin. Auf den Antrag, wonach gegen den Beschwerdeführer kein Einreiseverbot zu verhängen sei, ist derweil nicht einzutreten, da er nicht vom Streitgegenstand erfasst ist (vgl. E. 2.2).</w:t>
      </w:r>
    </w:p>
    <w:p>
      <w:r>
        <w:rPr>
          <w:b/>
        </w:rPr>
        <w:t>E. 11.1</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11.2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