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F-6818/2019 vom 13. Juli 2021</w:t>
      </w:r>
    </w:p>
    <w:p>
      <w:r>
        <w:t>Bundesverwaltungsgericht, 2021-07-13, DE</w:t>
      </w:r>
    </w:p>
    <w:p>
      <w:r>
        <w:rPr>
          <w:b/>
        </w:rPr>
        <w:t xml:space="preserve">Quelle: </w:t>
      </w:r>
      <w:r>
        <w:t>https://mcp.opencaselaw.ch/entscheid/bvger_F-6818_2019</w:t>
      </w:r>
    </w:p>
    <w:p>
      <w:r>
        <w:t>FR: TAF F-6818/2019 du 13 juillet 2021</w:t>
      </w:r>
    </w:p>
    <w:p>
      <w:r>
        <w:t>IT: TAF F-6818/2019 del 13 luglio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hat als Partei am Verfahren vor der Vorinstanz teilgenommen, ist durch die angefochtene Verfügung besonders betroffen und hat ein schutzwürdiges Interesse an deren Aufhebung beziehungsweise Änderung. Er ist folglich beschwerdelegitimiert (Art. 48 Abs. 1 VwVG). Die Beschwerde wurde frist- und formgerecht eingereicht, der Gerichtskostenvorschuss fristgerecht beglichen (Art. 50 Abs. 1 i.V.m. Art. 20 Abs. 3 VwVG, Art. 52 Abs. 1 VwVG, Art. 63 Abs. 4 VwVG).</w:t>
      </w:r>
    </w:p>
    <w:p>
      <w:r>
        <w:rPr>
          <w:b/>
        </w:rPr>
        <w:t>E. 1.3</w:t>
      </w:r>
    </w:p>
    <w:p>
      <w:r>
        <w:t>Das Rechtsmittelverfahren vor dem Bundesverwaltungsgericht richtet sich nach dem Verwaltungsverfahrensgesetz, soweit das Verwaltungsgerichtsgesetz nichts anderes bestimmt (Art. 37 VGG). Das Bundesverwaltungsgericht entscheidet in der vorliegenden Sache endgültig (Art. 83 Bst. c Ziff. 1 BGG).</w:t>
      </w:r>
    </w:p>
    <w:p>
      <w:r>
        <w:rPr>
          <w:b/>
        </w:rPr>
        <w:t>E. 1.4</w:t>
      </w:r>
    </w:p>
    <w:p>
      <w:r>
        <w:t>Zu den Verfahrensanträgen kann festgehalten werden, dass der Antrag auf Wiederherstellung der aufschiebenden Wirkung mit der Zwischenverfügung vom 29. Januar 2020 behandelt, die Akten der Vorinstanz zusammen mit deren Vernehmlassung eingeholt wurde. Das Recht auf Replik steht dem Beschwerdeführer von Verfassungs wegen zu (vgl. BGE 139 I 189 E. 3.2); ausserhalb des ordentlichen Schriftenwechsels gingen dem Gericht keine Eingaben zu.</w:t>
      </w:r>
    </w:p>
    <w:p>
      <w:r>
        <w:rPr>
          <w:b/>
        </w:rPr>
        <w:t>E. 1.5</w:t>
      </w:r>
    </w:p>
    <w:p>
      <w:r>
        <w:t>Nicht Gegenstand des Dispositivs der angefochtenen Verfügung, aber deren Begründung, ist die mit der Eingabe im Rahmen des nachträglichen rechtlichen Gehörs aufgeworfene Frage der wiedererwägungsweisen Neubeurteilung des Widerrufs der Niederlassungsbewilligung respektive der Wegweisung. Diese Frage wird mit der Beschwerde nicht wieder aufgegriffen. Wie die Vorinstanz in der angefochtenen Verfügung zu Recht festhält, bewegt sich diese Frage ausserhalb des Streitgegenstandes, der sich auf die Frage des Einreiseverbotes beschränkt.</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ist Art. 67 des Ausländer- und Integrationsgesetzes (AIG, SR 142.20).</w:t>
      </w:r>
    </w:p>
    <w:p>
      <w:r>
        <w:rPr>
          <w:b/>
        </w:rPr>
        <w:t>E. 3.2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Botschaft, a.a.O. S. 3760 sowie Urteil des BVGer F-7649/2016 vom 13. März 2018 E. 3.2 m.H.).</w:t>
      </w:r>
    </w:p>
    <w:p>
      <w:r>
        <w:rPr>
          <w:b/>
        </w:rPr>
        <w:t>E. 4.1</w:t>
      </w:r>
    </w:p>
    <w:p>
      <w:r>
        <w:t>Die Vorinstanz verweist zur im Rahmen des rechtlichen Gehörs aufgeworfenen Frage nach einer Wiedererwägung im Wegweisungspunkt auf die Rechtskraft des diesbezüglichen Entscheides und ihre eigene fehlende Prüfzuständigkeit. Nach einem Resümee der strafrechtlichen Verurteilungen folgerte die Vorinstanz, es lägen Verstösse gegen die Gesetzgebung vor, die insbesondere auch die öffentliche Sicherheit und Ordnung gefährdeten. Bei gewichtigen Straftaten bestehe regelmässig ein wesentliches öffentliches Interesse an einer Fernhaltemassnahme; besonders, wenn der Betroffene besonders hochwertige Rechtsgüter verletzt oder in Gefahr gebracht habe oder zeige, dass er auch künftig weder gewillt noch fähig erscheine, sich an die hiesige Rechtsordnung zu halten. Bei Personen, die sich nicht auf das Personenfreizügigkeitsabkommen berufen könnten, dürften generalpräventive Gesichtspunkte berücksichtigt werden. Insbesondere dem Urteil des Obergerichts D._______ sei zu entnehmen, dass der Beschwerdeführer eine ausgeprägte Geringschätzung und Gleichgültigkeit gegenüber der schweizerischen Rechtsordnung walten lasse. Die Vielzahl der über die Jahre hinweg begangenen Delikte, die wiederholten Fluchten aus den Massnahmezentren (mit begangenen Straftaten auf der Flucht) und die zahlreichen Versetzungen zwischen Massnahmezentren und Gefängnissen lasse ausländerrechtlich auf ein schweres Verschulden schliessen und zeigten auch, dass der Beschwerdeführer nicht willens oder fähig sei, sich an die Rechtsordnung zu halten. Das Bundesgericht habe im ihn betreffenden Urteil 2C_450/2019 - in Berücksichtigung der psychiatrischen Begutachtungen - auf eine ausländerrechtlich nicht hinzunehmende Rückfallgefahr geschlossen. Das Risiko eines Rückfalls in frühere Verhaltensmuster könne mit Blick auf das Persönlichkeitsprofil des Beschwerdeführers nicht ausgeschlossen werden. Das Wohlverhalten im Straf- und Massnahmevollzug erlaube aufgrund des dortigen Betreuungs- und Kontrollregimes keine Rückschlüsse auf künftiges Wohlverhalten zu. Ferner sei das ausländerrechtliche Widerrufsverfahren hängig gewesen, womit die Phase des Wohlverhaltens unter äusserem Druck entstanden sein dürfte. Daraus lasse sich nichts für die Zukunft schliessen - dagegen sprächen die psychiatrischen Gutachten und das bisherige Verhalten des Beschwerdeführers. Aufgrund nur schon der langjährigen Freiheitsstrafen sei auf eine schwerwiegende Gefahr für die öffentliche Sicherheit und Ordnung zu schliessen, weshalb die fünfjährige Regelhöchstdauer des Einreiseverbotes überschritten werden dürfe. Bei der Bemessung der Dauer seien die privaten Interessen des Beschwerdeführers (langer Aufenthalt in der Schweiz, Grossteil der Familie in der Schweiz) und der - wenn auch nicht direkt anwendbare - Art. 121 Abs. 3 BV zu beachten. Aufgrund der wiederholten, schon im Jugendalter begonnenen Delinquenz könne nicht von einer der Aufenthaltsdauer entsprechenden Integration ausgegangen werden. Zufolge des rechtskräftigen Widerrufs der Niederlassungsbewilligung könne er ohnehin nicht in der Schweiz wohnen. Die fallrelevante Konsequenz bestehe darin, dass auch Besuchsreisen zu den Verwandten nicht möglich seien (von vorübergehenden Aufhebungen des Verbotes abgesehen). Diese zusätzliche Einschränkung sei aufgrund der schwerwiegenden Delikte gegen Leib und Leben hinzunehmen. Die Einschränkungen bezüglich der Kontakte zu Familienangehörigen und der Verlobten gründeten primär im Verlust des Aufenthaltsrechts. Der Prüfung eines Familiennachzugsgesuchs - die durch den Kanton zu erfolgen hätte - stünde das Einreiseverbot nicht entgegen (sofern allerdings die Einreisevoraussetzungen erfüllt wären). Es möge sein, dass unter diesen Umständen die Beziehung zur Verlobten schwierig zu leben sein werde, doch stelle dies nur einen Teilaspekt der Verhältnismässigkeitsprüfung dar. Vor dem Hintergrund seines Verhaltens habe der Beschwerdeführer wissen und die Verlobte damit rechnen müssen, dass die Beziehung allenfalls nicht in der Schweiz gelebt werden könne. Klassische und moderne Kommunikationsmittel liessen zudem auch tägliche Kontakte zu. Der Beschwerdeführer habe während längerer Zeit ausserhalb der Schweiz und des Schengenraums zu beweisen, dass er gewillt und fähig sei, sich an die geltende Rechtsordnung zu halten. Schliesslich erfüllten die Delikte «klarerweise» den für eine Ausschreibung im Schengener Informationssystem verlangten Schweregrad.</w:t>
      </w:r>
    </w:p>
    <w:p>
      <w:r>
        <w:rPr>
          <w:b/>
        </w:rPr>
        <w:t>E. 4.2</w:t>
      </w:r>
    </w:p>
    <w:p>
      <w:r>
        <w:t>Der Beschwerdeführer macht in seiner Beschwerde geltend, die Frage nach der Gefährdung der öffentlichen Sicherheit und Ordnung sei in Würdigung der gesamten Umstände des Einzelfalles zu prüfen. Unbestritten sei die Zahl und Schwere der zwischen 1997 und 2011 begangenen Straftaten, auch nicht, dass diese einen Verstoss gegen die öffentliche Sicherheit und Ordnung zu begründen vermochten. Zwingend zu beachten sei indes der Zeitablauf. So sei zwar klar, dass der Beschwerdeführer bei den Taten, die dem in der angefochtenen Verfügung zentralen Urteil des D._______er Obergerichts zugrunde lagen, falsch gehandelt habe. Die relevante Deliktsperiode damals sei September und Oktober 2009 und 2007 bis 2009 gewesen. Er habe aus der verhängten Sanktion gelernt. Überdies sei seine Schuldfähigkeit bei den Taten mittelgradig vermindert gewesen, was das Obergericht denn auch zu seinen Gunsten gewürdigt habe. Die Taten hätten in einer Störung der Persönlichkeitsentwicklung gegründet und deshalb zur Anordnung einer Massnahme nach Art. 61 StGB geführt. Eine solche Störung könne dem Beschwerdeführer nicht zum Vorwurf gemacht werden. Nachdem er seit 2011 nicht mehr strafrechtlich in Erscheinung getreten sei, habe die Massnahme ihren gesetzlichen Zweck - gemäss Art. 61 Abs. 3 StGB die Vermittlung der Fähigkeiten, selbstverantwortlich und straffrei zu leben - erfüllt. Sei dieser Lerneffekt mit dem Ziel der Verhinderung künftiger Straffälligkeit erfüllt, so könne aufgrund der langen deliktfreien Zeit nicht von einer ungünstigen Prognose ausgegangen werden. Eine qualifizierte Gefährdungslage dürfe nicht leichthin angenommen werden. Die Vorinstanz verletze die ihr obliegende Begründungspflicht, wenn sie die schwerwiegende Gefährdung der öffentlichen Sicherheit einzig mit der langjährigen Freiheitsstrafe begründe. Die Freiheitsstrafen - die mit 15 respektive 24 Monaten Dauer nicht als «langjährig» gelten könnten - seien eben zugunsten einer Massnahme für junge Erwachsene aufgeschoben worden. Die schweren Straftaten lägen 10 Jahre zurück, es habe ein Reifeprozess eingesetzt. Letztlich könne man aufgrund fehlender Begründung nicht nachvollziehen, wie die Vorinstanz auf eine schwerwiegende Gefährdung (gemeint: schwerwiegende Gefahr) schliessen könne; eine solche sei auch nicht ersichtlich. Ein Einreiseverbot tangiere den Beschwerdeführer, der in der Schweiz geboren und aufgewachsen sei und dessen Familie in der Schweiz lebe, in seinem Anspruch auf Achtung seines Privatlebens gemäss Art. 8 Ziff. 1 EMRK. Ein Eingriff hierin könne gestützt auf eine gesetzliche Grundlage nur zur Wahrung bestimmter öffentlicher Interesse, und nur nach Vornahme einer Verhältnismässigkeitsprüfung erfolgen. Liege keine schwerwiegende Gefährdung (gemeint: schwerwiegende Gefahr) vor, so betrage die Höchstdauer ohnehin fünf Jahre. Den Beschwerdeführer als Secondo treffe bereits der Entzug des Niederlassungsrechts hart. Es sei nicht ersichtlich, weshalb er zusätzlich mit einem Einreiseverbot zu bestrafen sei. Bereits eine kürzere Dauer würde ihn hart treffen. Die Vorinstanz begründe zudem das konkrete Mass von acht Jahren Dauer nicht, insbesondere gehe sie nicht auf die seitens des AfM beantragte Dauer von vier Jahren ein. Damit verletze sie wiederum die Begründungspflicht. Auch die Ausschreibung im SIS II - und damit ein Einreiseverbot in den Schengenraum - sei unter dem Gesichtspunkt der Verhältnismässigkeit zu prüfen. Vorliegend falle in Betracht, dass die Familie des Beschwerdeführers in der Region H._______ wohne. Die Ausschreibung verunmögliche somit Treffen oder Besuche im grenznahen Ausland.</w:t>
      </w:r>
    </w:p>
    <w:p>
      <w:r>
        <w:rPr>
          <w:b/>
        </w:rPr>
        <w:t>E. 4.3</w:t>
      </w:r>
    </w:p>
    <w:p>
      <w:r>
        <w:t>Die Vorinstanz verweist in ihrer Vernehmlassung vom 17. Februar 2020 auf die angefochtene, «ausführliche» Verfügung.</w:t>
      </w:r>
    </w:p>
    <w:p>
      <w:r>
        <w:rPr>
          <w:b/>
        </w:rPr>
        <w:t>E. 5</w:t>
      </w:r>
    </w:p>
    <w:p>
      <w:r>
        <w:t>Der Beschwerdeführer erhebt, wie ersichtlich, Rügen betreffend die Verletzung des Gehörsanspruchs. Diese formellen Rügen sind vorab zu prüfen (statt Vieler: Urteil des BGer 2C_257/2018, 2C_308/2018 vom 11. November 2019 E. 2 Ingress m.w.H.).</w:t>
      </w:r>
    </w:p>
    <w:p>
      <w:r>
        <w:rPr>
          <w:b/>
        </w:rPr>
        <w:t>E. 5.1</w:t>
      </w:r>
    </w:p>
    <w:p>
      <w:r>
        <w:t>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5.2</w:t>
      </w:r>
    </w:p>
    <w:p>
      <w:r>
        <w:t>Der Anspruch auf rechtliches Gehör verlangt von Verfassungs wegen (Art. 29 Abs. 2 BV), dass die Behörde die Vorbringen der Parteien auch tatsächlich hört, prüft und in der Entscheidfindung berücksichtigt; daraus folgt insbesondere die Verpflichtung der Behörde, ihren Entscheid ausreichend und nachvollziehbar zu begründen.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2019, N.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w:t>
      </w:r>
    </w:p>
    <w:p>
      <w:r>
        <w:rPr>
          <w:b/>
        </w:rPr>
        <w:t>E. 5.3</w:t>
      </w:r>
    </w:p>
    <w:p>
      <w:r>
        <w:t>Der Anspruch auf rechtliches Gehör bezieht sich grundsätzlich auf den rechtserheblichen Sachverhalt. Bezüglich Fragen der rechtlichen Beurteilung und Würdigung von Tatsachen hat die Behörde nur dann das rechtliche Gehör einzuräumen, wenn sie beabsichtigt, sich in ihrem Entscheid auf einen völlig unüblichen oder neuen und deshalb nicht vorhersehbaren Rechtsgrund abzustützen; zu einer Rechtsanwendung, mit der aufgrund der veröffentlichten Rechtsprechung zu rechnen ist, besteht kein Anspruch auf vorgängige Anhörung (BGE 140 III 231 E. 3.5 Abs. 3, 145 I 167 E 4.1; Sutter, a.a.O. N. 12 zu Art. 29 VwVG; vgl. auch Waldmann/Bickel, in: Waldmann/Weissenberger (Hrsg.), Praxiskommentar VwVG, 2. Aufl. 2016, N. 74 zu Art. 29 VwVG).</w:t>
      </w:r>
    </w:p>
    <w:p>
      <w:r>
        <w:rPr>
          <w:b/>
        </w:rPr>
        <w:t>E. 5.4</w:t>
      </w:r>
    </w:p>
    <w:p>
      <w:r>
        <w:t>Zu den Gehörsrügen im Einzelnen:</w:t>
      </w:r>
    </w:p>
    <w:p>
      <w:r>
        <w:rPr>
          <w:b/>
        </w:rPr>
        <w:t>E. 5.4.1</w:t>
      </w:r>
    </w:p>
    <w:p>
      <w:r>
        <w:t>Der Beschwerdeführer rügt, die Vorinstanz «scheint die schwerwiegende Gefährdung lediglich mit der 'langjährigen Freiheitsstrafe' zu begründen» und zwar «ohne weitere Ausführungen» - und verletze damit ihre Begründungspflicht (Beschwerde Ziff. 22; auch Ziff. 26). Diese Lesart der angefochtenen Verfügung greift zu kurz, schloss die Vorinstanz doch keineswegs einzig gestützt auf die Freiheitsstrafe auf eine schwerwiegende Gefahr der öffentlichen Sicherheit. Sie gewichtete die Tatausführungen der Raubtaten gemäss dem Obergericht des Kantons D._______, wie auch dessen Feststellung der fehlenden Reue und Einsicht, die Vielzahl der über die Jahre verübten Straftaten, die (mit weiteren Straftaten verbundenen) Fluchten aus mehreren Vollzugsanstalten, die zahlreichen Disziplinierungen und Versetzungen zwischen den Anstalten, die Beurteilung der Rückfallgefahr im den Beschwerdeführer betreffenden Urteil 2C_450/2019 des Bundesgerichts, inklusive der darin zitierten Gutachten zur Legalprognose, und nahm Stellung zum geltend gemachten Wohlverhalten. Aus all dem schloss die Vorinstanz, ein Rückfall in frühere Verhaltensmuster könne aufgrund des Persönlichkeitsprofils nicht ausgeschlossen werden. Wohl schreibt die Vorinstanz in der Schlussfolgerung aus alledem («Damit ist festzuhalten [...]») auch, der Beschwerdeführer stelle «schon nur aufgrund der langjährigen Freiheitsstrafen» eine schwerwiegende Gefahr für Sicherheit und Ordnung dar; doch kann dieser Einschub nicht darüber hinwegtäuschen, dass die Vorinstanz hier eben den Schluss aus einer umfassenden Betrachtung des Einzelfalles gezogen hatte - und dabei insbesondere auch Aspekte würdigte, welche der Beschwerdeführer im Rahmen des zweimalig gewährten rechtlichen Gehörs vorgebracht hatte. Ob diese Betrachtung überzeugt, ist eine Frage der Beweiswürdigung und nicht des rechtlichen Gehörs.</w:t>
      </w:r>
    </w:p>
    <w:p>
      <w:r>
        <w:rPr>
          <w:b/>
        </w:rPr>
        <w:t>E. 5.4.2</w:t>
      </w:r>
    </w:p>
    <w:p>
      <w:r>
        <w:t>Der Beschwerdeführer bringt sodann vor, die Vorinstanz begründe nicht, «weshalb gerade eine Einreisesperre von 8 Jahren verhältnismässig» sei und nicht etwa eine von zwei, vier oder sechs Jahren den gewünschten Effekt erzielen solle. Die Dauer sei somit willkürlich festgelegt und - weil die Dauer von acht Jahren nicht begründet sei - sei die Begründungspflicht verletzt. Der Beschwerdeführer verkennt zweierlei:</w:t>
      </w:r>
    </w:p>
    <w:p>
      <w:r>
        <w:rPr>
          <w:b/>
        </w:rPr>
        <w:t>E. 5.4.2.1</w:t>
      </w:r>
    </w:p>
    <w:p>
      <w:r>
        <w:t>Das Gesetz sieht keine schematische Vorgabe für bestimmte Dauern eines Einreiseverbotes vor; es gibt einen Rahmen von bis zu fünf Jahren vor und setzt die Prüfung einer schwerwiegenden Gefahr für eine längere Dauer voraus. Damit handelt es sich um eine Ermessensnorm; der Gesetzgeber übergibt durch eine geplant offene Normierung der Verwaltungsbehörde die Entscheidbefugnis. Diese ist nicht frei auszuüben, sondern pflichtgemäss. Die Behörde ist an die Verfassung gebunden, insbesondere das Rechtsgleichheitsgebot, das Verhältnismässigkeitsprinzip, die Pflicht zur Wahrung der öffentlichen Interessen und die Nachachtung von Sinn und Zweck der gesetzlichen Ordnung. Der Entscheid hat nicht nur rechtmässig, sondern auch angemessen zu sein. Angemessenheit ist die den Umständen angepasste Lösung im rechtlich nicht normierten Handlungsspielraum; die Frage nach der Angemessenheit stellt sich nur dort, wo das Recht - selbst der Verhältnismässigkeitsgrundsatz nicht mehr hinkommt.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u.a. die unverhältnismässige Handhabung des Ermessens. Die pflichtgemässe Ausübung des Ermessens korrespondiert mit der Pflicht zur Begründung. Je weiter der Ermessensspielraum ist, desto besser muss der Entscheid begründet werden (zum Ganzen BGE 142 II 268 E. 4.2.3 m.w.H.; Häfelin/Müller/Uhlmann, Allgemeines Verwaltungsrechts, 8. Aufl., 2020, N 396, 409, 411). Im Anwendungsbereich des Ermessens in einem Zumessungsbereich gibt es von vornherein keine Begründung dafür, warum genau eine bestimmte Dauer «den gewünschten Effekt» bringe - denn es gibt kein mathematisch eindeutiges Ergebnis, sondern eben nur ein angemessenes oder eben nicht angemessenes. Die Begründung der Angemessenheit soll demzufolge die Gesichtspunkte aufzeigen, warum das ermessensweise gewählte Resultat angemessen ist - nicht mehr, aber auch nicht weniger (vgl. dazu nachstehend, E. 7.1).</w:t>
      </w:r>
    </w:p>
    <w:p>
      <w:r>
        <w:rPr>
          <w:b/>
        </w:rPr>
        <w:t>E. 5.4.2.2</w:t>
      </w:r>
    </w:p>
    <w:p>
      <w:r>
        <w:t>Diesem Anspruch genügt die angefochtene Verfügung: Die Vorinstanz nahm anschliessend an die Feststellung, dass die Regelhöchstdauer von fünf Jahren überschritten werden könne, in einem längeren Absatz eine umfassende Würdigung vor, weshalb sie die angeordnete Massnahmedauer als angemessen und verhältnismässig erachte (angefochtene Verfügung, S. 3 f.). Korrekt ist zwar, dass sich die Vorinstanz nicht zum Antrag der kantonalen Behörde auf Aussprechen eines Einreiseverbotes von vier Jahren äussert. Eine Bezugnahme darauf wäre insofern wünschbar, als das Abweichen von diesem Antrag in der Stellungnahme vom 15. November 2019 (vorne, Bst. O) breiten Raum einnimmt, jedoch bindet dieser Antrag die Vorinstanz nicht in ihrem Entscheid und tragen die gewichteten Aspekte die Verfügung unabhängig von diesem Antrag. Zumal die Vorinstanz dem Beschwerdeführer nach Erlass der ersten Verfügung Gelegenheit zur Stellungnahme zu dieser Verfügung gab, kann auch dahinstehen, ob es sich bei dieser Beurteilung um eine Würdigung handelt, mit der nicht zu rechnen gewesen wäre (vgl. vorne, E. 5.3). Auch hier gilt letztlich: Ob sie im Resultat richtig liegt, ist eine Frage der Prüfung der Angemessenheit respektive Rechtmässigkeit, aber nicht des rechtlichen Gehörs.</w:t>
      </w:r>
    </w:p>
    <w:p>
      <w:r>
        <w:rPr>
          <w:b/>
        </w:rPr>
        <w:t>E. 5.5</w:t>
      </w:r>
    </w:p>
    <w:p>
      <w:r>
        <w:t>Die Gehörsrügen sind insgesamt abzuweisen.</w:t>
      </w:r>
    </w:p>
    <w:p>
      <w:r>
        <w:rPr>
          <w:b/>
        </w:rPr>
        <w:t>E. 6.1</w:t>
      </w:r>
    </w:p>
    <w:p>
      <w:r>
        <w:t>Die Vorinstanz begründet das Einreiseverbot im Kern mit der sich über mehrere Jahre hinziehenden Straffälligkeit des Beschwerdeführers, sein disziplinarisch geahndetes und mit weiterer Straffälligkeit verknüpftes Verhalten im Massnahmevollzug, die aus dem Tatvorgehen insbesondere bei den Raubdelikten offenbare Geringschätzung und Gleichgültigkeit gegenüber der schweizerischen Rechtsordnung und der Rückfallgefahr. Der Beschwerdeführer bestreitet weder die Straftaten an sich, noch, dass diese einen Verstoss gegen die öffentliche Sicherheit und Ordnung in der Schweiz (und damit einen Eingangstatbestand von Art. 67 Abs. 2 Bst. a AIG) darstellten. Er macht geltend, er habe sich lange Zeit nichts Schwerwiegendes zuschulden kommen lassen. Zu beachten sei seine verminderte Schuldfähigkeit und, dass er keine direkte Gewalt auf die Opfer ausgeübt habe. Die Taten seien auf eine Störung der Persönlichkeitsentwicklung zurückzuführen, die man ihm nicht vorwerfen könne; es sei eine Reifung eingetreten, die Massnahmen für junge Erwachsene hätten ihren Zweck erreicht. Eine ungünstige Legalprognose müsse sich aufdrängen, ansonsten sei ein Einreiseverbot nicht gerechtfertigt - so auch hier. Dem ist Mehreres entgegenzuhalten. Wie erwähnt, ist das Einreiseverbot keine Sanktion, sondern eine Massnahme zur Abwendung einer künftigen Störung der öffentlichen Sicherheit und Ordnung (vorne, E. 3.3). Im Vordergrund steht vorliegend nicht das Ziel der Resozialisierung, sondern das Interesse der öffentlichen Ordnung und Sicherheit. Daraus ergibt sich im Ausländerrecht ein im Vergleich zum Strafrecht strengerer Beurteilungsmassstab (vgl. BGE 137 II 233 E. 5.2.2. m.w.H). Folglich kommen auch nicht Prinzipien der strafrechtlichen Strafzumessung zum Zuge, sondern steht die Rückfallprognose im Vordergrund. Sodann kann der Betroffene nach verbüsster Sanktion oder Massnahme nicht von der Annahme der künftigen Deliktsfreiheit ausgehen (und es müsse sich eine Rückfallgefahr geradezu «aufdrängen»), sondern es wird bei vorbestehender Delinquenz die Gefahr künftiger Störungen nachgerade vermutet (vorne, E. 3.3 a.E.), müsste also widerlegt werden. Das gelingt dem Beschwerdeführer mit dem Verweis auf die Dauer der (vermutlichen) Deliktsfreiheit nicht. Das Verhalten des Beschwerdeführers im Massnahmevollzug - mehrfache Fluchten in den Jahren 2012, 2013 und 2014, verbunden mit Straftaten, zahlreiche disziplinarische Massnahmen bis hin zu Versetzungen zwischen Anstalten - widersprechen der These des Beschwerdeführers, er würde sich seit 2011 im Wesentlichen wohlverhalten, diametral. Auch kann diesem Verhalten ohne weiteres entnommen werden, dass die ausgesprochenen Strafen respektive die an deren Stelle angeordneten Massnahmen sein Verhalten nicht zu beeinflussen vermochten. Noch im Jahre 2014 sprach sich eine forensische (Ergänzungs-) Begutachtung dafür aus, dass beim Beschwerdeführer, seiner psychischen Störung zum Trotz, durchaus die Fähigkeit zur Einsicht in das Unrecht seiner Taten und zum Handeln gemäss dieser Einsicht vorhanden sei; es wurde ihm eine ungünstige Legalprognose mit erhöhter Rückfallgefahr attestiert, wobei die drohenden Straftaten den in der Vergangenheit begangenen entsprechen dürften. Bei diesen handelte es sich neben vielen - und mehrfach wiederholt begangenen - anderen insbesondere auch um mehrere Raubdelikte, wobei insbesondere im durch das Obergericht des Kantons D._______ beurteilten Sachverhaltskomplex von dreister Tatausführung, erheblicher krimineller Energie und unmittelbarer Drohung unter anderem unter Verwendung eines Messers die Rede ist - die Darstellung in der Beschwerde, der Beschwerdeführer habe keine direkte Gewalt angewandt, erscheint als arg beschönigend. Das D._______er Obergericht liess einzig die Minderintelligenz als leicht strafmilderndes Element zu. Reue und Einsicht waren beim Beschwerdeführer - dessen Steuerungsfähigkeit, wie erwähnt, nicht vermindert ist - nicht erkennbar (zum Ganzen ausführlich Urteile des Kantonsgerichts B._______ 810 15 138 E. 6.5 und des Bundesgerichts 2C_450/2019 E. 3.4 f.). Das Bundesgericht kam (a.a.O.) noch im September 2019 zum Schluss, es liege insgesamt aus ausländerrechtlicher Warte ein schweres Verschulden und eine ausländerrechtlich nicht hinnehmbare Rückfallgefahr vor. Es ist nicht erkennbar, dass sich in der kurzen Zeit bis zum Erlass der angefochtenen Verfügung oder des vorliegenden Urteils grundsätzlich geändert haben könnte. Die Vorinstanz ging somit zu Recht von einem Fernhaltegrund im Sinne von Art. 67 Abs. 2 Bst. a AIG aus.</w:t>
      </w:r>
    </w:p>
    <w:p>
      <w:r>
        <w:rPr>
          <w:b/>
        </w:rPr>
        <w:t>E. 6.2</w:t>
      </w:r>
    </w:p>
    <w:p>
      <w:r>
        <w:t>Fernhaltemassnahmen, die die in Art. 67 Abs. 3 Satz 1 festgehaltene Höchstdauer von fünf Jahren überschreiten, sind (wie vorstehend, E. 3.2, eingeführt) nur zulässig, wenn die betroffene Person eine schwerwiegende Gefahr für die öffentliche Sicherheit und Ordnung darstellt (vgl. Art. 67 Abs. 3 zweiter Satz AIG). Eine solche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(vgl. BGE 139 II 121 E. 6.3; Urteil des BGer 2C_270/2015 vom 6. August 2015 E. 4.2; BVGE 2013/4 E. 7.2.4; Urteil des BVGer F-5596/2016 vom 6. August 2019 E. 5.3 m.H.). Die Verneinung des Vorliegens einer schwerwiegenden Gefahr ist erst nach einer längerfristigen Bewährung der straffällig gewordenen Person in Freiheit möglich (vgl. BVGE 2014/20 E. 5.4 m.H.). Bei schweren Straftaten muss zum Schutz der Öffentlichkeit ausländerrechtlich selbst ein geringes Restrisiko weiterer Beeinträchtigungen der dadurch gefährdeten Rechtsgüter (Gesundheit, Leib und Leben usw.) nicht in Kauf genommen werden (vgl. BGE 139 I 31 E. 2.3.2 m.H.). Wie bereits vorstehend (E. 5.4.1) skizziert, schloss die Vorinstanz aus einer Gesamtwürdigung der von den Strafgerichten festgestellten Tatausführungen der Raubtaten, der Vielzahl der begangenen Straftaten, der langen Dauer der anhaltenden Delinquenz, dem Verhalten im Massnahmevollzug, der Beurteilung der Rückfallgefahr durch das Bundesgericht respektive des dieser Beurteilung zugrundeliegenden Gutachtens und des geltend gemachten, jedoch zu relativierenden, Wohlverhaltens auf ein Persönlichkeitsprofil, bei dem ein Rückfall in alte Verhaltensmuster nicht ausgeschlossen werden könne. Der Beschwerdeführer ist - wie gleichenorts ausgeführt - der Auffassung, die Vorinstanz schliesse aus einer langjährigen Gefängnisstrafe alleine auf die schwerwiegende Gefahr; ohnehin könne nicht von einer langjährigen Gefängnisstrafe gesprochen werden, da die Strafen zugunsten einer Massnahme für junge Erwachsene aufgeschoben worden seien. Auch sei die Phase der Delinquenz abgeschlossen. Der Beschwerdeführer war bereits als Jugendlicher mit Raub-, Körperverletzungs-, Betäubungsmittel- und weiteren Delikten in Erscheinung getreten. Verurteilungen durch die Jugendanwaltschaft und mittels Strafbefehl hielten ihn nicht von weiterer Delinquenz ab, so dass es zu weiteren, jeweils über- bis mehrjährigen, Verurteilungen wegen Straftaten aus demselben Deliktsspektrum kam. Der Aufschub der Strafen (soweit nicht durch mehrmonatige Untersuchungshaft erstanden) zugunsten einer Massnahme ändert nichts an der mit ihrer Bemessung zum Ausdruck kommenden Beurteilung des strafrechtlich relevanten Tatverschuldens. Die Delikte, insbesondere die Raubdelikte im Verbund mit Körperverletzungsdelikten und des zur Drohung erfolgten Gebrauchs von Messern und Waffenattrappen, sind - im Einklang mit den Urteilen des Kantonsgerichts B._______ 810 15 138 E. 6.5 und des Bundesgerichts 2C_450/2019 E. 3.3. - als gravierend einzustufen. Angesichts der zu bejahenden Einsichts- und Steuerungsfähigkeit und gleichzeitig der in den Strafverfahren festgestellten fehlenden Reue und Einsicht ist davon auszugehen, dass der Beschwerdeführer nicht fähig oder willens war, sich der Rechtsordnung anzupassen. Das Risiko, dass es zu gleichartiger Delinquenz kommen wird, ist ein mehr als nur geringes Restrisiko. Die Vorinstanz konnte die Regelhöchstdauer zu Recht überschreiten.</w:t>
      </w:r>
    </w:p>
    <w:p>
      <w:r>
        <w:rPr>
          <w:b/>
        </w:rPr>
        <w:t>E. 7.1</w:t>
      </w:r>
    </w:p>
    <w:p>
      <w:r>
        <w:t>Den Entscheid, ob ein Einreiseverbot angeordnet wird und wie es zeitlich ausgestaltet ist, legt Art. 67 Abs. 2 AIG in das pflichtgemässe Ermessen der Behörde (vgl. vorne, E. 5.4.2.1). Im Vordergrund steht bei der Ermessensprüfung der Grundsatz der Verhältnismässigkeit staatlichen Handelns (Art. 5 Abs. 2 BV, Art. 96 Abs. 1 AIG).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7.2</w:t>
      </w:r>
    </w:p>
    <w:p>
      <w:r>
        <w:t>Vom Beschwerdeführer geht wie dargetan eine schwerwiegende Gefahr für die öffentliche Sicherheit und Ordnung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Massnahmenpraxis zu schützen (vgl. BVGE 2014/20 E. 8.2 m.H.).</w:t>
      </w:r>
    </w:p>
    <w:p>
      <w:r>
        <w:rPr>
          <w:b/>
        </w:rPr>
        <w:t>E. 7.3</w:t>
      </w:r>
    </w:p>
    <w:p>
      <w:r>
        <w:t>Den öffentlichen Interessen sind die privaten Interessen des Beschwerdeführers gegenüberzustellen. Der Beschwerdeführer beruft sich auf Art. 8 EMRK, bereits der Verlust des Niederlassungsrechts treffe ihn als Secondo hart, es sei nicht ersichtlich, weshalb er zusätzlich mit einem Einreiseverbot zu bestrafen sei. Ein Einreiseverbot jeder Dauer würde ihn hart treffen, da er in der Schweiz aufgewachsen sei und hier seine ganze Familie lebe. Die Dauer - die fünf Jahre ohnehin nicht überschreiten dürfte - sei willkürlich festgelegt. Auch sei unverständlich, warum die Vorinstanz über den Antrag der kantonalen Behörde hinausgehe.</w:t>
      </w:r>
    </w:p>
    <w:p>
      <w:r>
        <w:rPr>
          <w:b/>
        </w:rPr>
        <w:t>E. 7.4</w:t>
      </w:r>
    </w:p>
    <w:p>
      <w:r>
        <w:t>Anzumerken ist, dass der Beschwerdeführer durch den höchstrichterlich bestätigten Widerruf der Niederlassungsbewilligung sein Aufenthaltsrecht in der Schweiz verloren hat. Allfällige Einschränkungen des Privat- und Familienlebens sind somit in erster Linie diesem Umstand geschuldet. Da der Verlust des Aufenthaltsrechts nicht Gegenstand dieses Verfahrens bildet, stellt sich einzig die Frage, ob die durch das Einreiseverbot zusätzlich bewirkte Erschwernis vor Art 8 Ziff. 1 EMRK und Art 13 Abs. 1 BV standhält (vgl. zum Ganzen BVGE 2013/4 E. 7.4.1 und 7.4.2).</w:t>
      </w:r>
    </w:p>
    <w:p>
      <w:r>
        <w:rPr>
          <w:b/>
        </w:rPr>
        <w:t>E. 7.5</w:t>
      </w:r>
    </w:p>
    <w:p>
      <w:r>
        <w:t>Der Beschwerdeführer ist in der Schweiz geboren und - weitestgehend - auch aufgewachsen. Seine Herkunftsfamilie lebt in der Schweiz, ebenso seine Verlobte. Der langen Aufenthaltsdauer zum Trotz kann von keiner gelungenen Integration gesprochen werden; die schon mehrfach thematisierte andauernde Delinquenz und Schulden bei der öffentlichen Sozialhilfe sprechen dagegen. Bemühungen um Arbeitssuche, Schuldenabbau und deliktsfreies Leben wurden vor der kantonalen Behörde behauptet, aber nicht belegt. Verständlich ist zwar, dass er (bei Wahrunterstellung) bei seiner kranken Mutter sein will, doch ist nicht erklärt oder ersichtlich, warum sie der Betreuung gerade durch ihn bedarf - von der sicherlich wichtigen familiären Nähe abgesehen ist keine berufliche oder ähnliche Qualifikation des Beschwerdeführers erkennbar. Über die Art der Beziehung zu seiner Verlobten ist nichts weiter bekannt. Insgesamt liegt kein derart im Sinne von Art. 8 EMRK schützenswertes Familienleben vor, welches die Verhältnismässigkeit der Massnahme in Frage stellen würde. Anders entscheiden hiesse, das Instrument des Einreiseverbotes für jegliche Betroffene mit Angehörigen in der Schweiz grundsätzlich für unzulässig zu erklären (vgl. Urteil des BGer 2C_270/2015 vom 6. August 2015 E. 8.2).</w:t>
      </w:r>
    </w:p>
    <w:p>
      <w:r>
        <w:rPr>
          <w:b/>
        </w:rPr>
        <w:t>E. 7.6</w:t>
      </w:r>
    </w:p>
    <w:p>
      <w:r>
        <w:t>Zu erwähnen bleibt, dass Besuchsaufenthalte durch das Einreiseverbot nicht strikte verboten sind, steht dem Beschwerdeführer doch offen, für familiäre Besuche die zeitweilige Suspension des Einreiseverbotes zu beantragen (Art. 67 Abs. 5 AIG). Nicht Gegenstand dieses Verfahrens schliesslich ist die mögliche Aufhebung des Verbotes im Rahmen einer allfälligen Neuerteilung einer Aufenthaltsberechtigung (vgl. dazu wiederum BVGE 2013/4 E. 7.4.1 und 7.4.3).</w:t>
      </w:r>
    </w:p>
    <w:p>
      <w:r>
        <w:rPr>
          <w:b/>
        </w:rPr>
        <w:t>E. 7.7</w:t>
      </w:r>
    </w:p>
    <w:p>
      <w:r>
        <w:t>Eine wertende Gewichtung der sich gegenüberstehenden Interessen führt das Bundesverwaltungsgericht zum Ergebnis, dass die öffentlichen Interessen die privaten Interessen des Beschwerdeführers überwiegen. Das auf acht Jahre befristete Einreiseverbot stellt dem Grundsatz nach und auch in Bezug auf seine Dauer eine harte, aber verhältnismässige und angemessene Massnahme zum Schutz der öffentlichen Sicherheit und Ordnung dar.</w:t>
      </w:r>
    </w:p>
    <w:p>
      <w:r>
        <w:rPr>
          <w:b/>
        </w:rPr>
        <w:t>E. 8.1</w:t>
      </w:r>
    </w:p>
    <w:p>
      <w:r>
        <w:t>Wird gegen eine Person, die nicht die Staatsangehörigkeit eines Mitgliedstaates der EU oder der EFTA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Abl. L 381/4 vom 28. Dezember 2016 [SIS II-Verordnung] sowie Art. 20-22 der Verordnung vom 8. März 2013 über den nationalen Teil des Schengener Informationssystems [N-SIS] und das SIRENE-Büro [N-SIS-Verordnung, SR 362.0]).</w:t>
      </w:r>
    </w:p>
    <w:p>
      <w:r>
        <w:rPr>
          <w:b/>
        </w:rPr>
        <w:t>E. 8.2</w:t>
      </w:r>
    </w:p>
    <w:p>
      <w:r>
        <w:t>Der Beschwerdeführer hält der in diesem Punkt bestenfalls rudimentären Begründung der Vorinstanz entgegen, eine Ausschreibung im SIS II sei nicht verhältnismässig, da sie Besuche respektive Treffen mit der Familie im grenznahen Raum verunmögliche.</w:t>
      </w:r>
    </w:p>
    <w:p>
      <w:r>
        <w:rPr>
          <w:b/>
        </w:rPr>
        <w:t>E. 8.3</w:t>
      </w:r>
    </w:p>
    <w:p>
      <w:r>
        <w:t>Gemäss neuester bundesgerichtlicher Rechtsprechung erfüllt eine Verurteilung wegen einer Strafe für einen Straftatbestand, für den eine Freiheitsstrafe im Höchstmass von einem Jahr oder mehr vorgesehen ist, das Eingangskriterium des Art. 24 Ziff. 2 Bst. a SIS II-Verordnung. Kumulativ ist in Nachachtung des in Art. 21 SIS II-Verordnung verankerten Verhältnismässigkeitsprinzips zu prüfen, ob von der betroffenen Person eine Gefahr für die öffentliche Sicherheit und Ordnung ausgeht; wobei an die Annahme einer solchen Gefahr keine allzu hohen Anforderungen zu stellen sind. Die Ausschreibung setzt weiter voraus, dass sie in Beachtung der nationalen Verfahrensregeln und auf der Grundlage einer individuellen Bewertung ergeht. (vgl. eingehend Urteil des BGer 6B_1178/2019 vom 10. März 2021 [zur Publikation vorgesehen] E. 4.8).</w:t>
      </w:r>
    </w:p>
    <w:p>
      <w:r>
        <w:rPr>
          <w:b/>
        </w:rPr>
        <w:t>E. 8.4</w:t>
      </w:r>
    </w:p>
    <w:p>
      <w:r>
        <w:t>Bereits mit einer einfachen Verurteilung wegen Raubes (Art. 140 StGB) würde der Beschwerdeführer das Eingangskriterium des Art. 24 Ziff. 2 Bst. a SIS II-Verordnung erfüllen; erst recht gilt diese für die vorliegende Kriminalkarriere. Für die Prüfung der im Rahmen der Verhältnismässigkeitsprüfung zu klärenden Frage nach der Gefahr für die öffentliche Ordnung und Sicherheit kann auf das Gesagte (E. 6) verwiesen werden. Das überwiegende Interesse an der Fernhaltung gilt nicht nur für die Schweiz, sondern für den gesamten Schengenraum, ist doch die Schweiz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Es steht dem Beschwerdeführer frei, sich alternativ zu einer befristeten Aufhebung des Einreiseverbotes in die Schweiz um eine analoge Genehmigung im grenznahen Ausland zu bemühen.</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sind die Kosten dem Beschwerdeführer aufzuerlegen (vgl. Art. 63 Abs. 1 VwVG). Diese werden in Anwendung der massgeblichen Grundsätze (vgl. Art. 1 ff. des Reglements vom 21. Februar 2008 über die Kosten und Entschädigungen vor dem Bundesverwaltungsgericht [VGKE, SR 173.320.2]) auf Fr. 1'500.- festgesetzt und dem geleisteten Kostenvorschuss entnommen. Eine Parteientschädigung steht dem unterliegenden Beschwerdeführer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