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F-6812/2025 vom 17. September 2025</w:t>
      </w:r>
    </w:p>
    <w:p>
      <w:r>
        <w:t>Bundesverwaltungsgericht, 2025-09-17, FR</w:t>
      </w:r>
    </w:p>
    <w:p>
      <w:r>
        <w:rPr>
          <w:b/>
        </w:rPr>
        <w:t xml:space="preserve">Quelle: </w:t>
      </w:r>
      <w:r>
        <w:t>https://mcp.opencaselaw.ch/entscheid/bvger_F-6812_2025</w:t>
      </w:r>
    </w:p>
    <w:p>
      <w:r>
        <w:t>FR: TAF F-6812/2025 du 17 septembre 2025</w:t>
      </w:r>
    </w:p>
    <w:p>
      <w:r>
        <w:t>IT: TAF F-6812/2025 del 17 settembre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aucun nouvel examen de la compétence selon ledit chapitre, sous réserve des situations prévues à l'art. 7 par. 3 RD III (en lien avec les critères de détermination visés aux art. 8, 10 et 16 RD III) et à l'art. 20 par. 5 RD III (cf. ATAF 2019 VI/7 consid. 6.4.1.3 ; 2017 VI/5 consid. 6.2 et 8.2.1).</w:t>
      </w:r>
    </w:p>
    <w:p>
      <w:r>
        <w:rPr>
          <w:b/>
        </w:rPr>
        <w:t>E. 2.3</w:t>
      </w:r>
    </w:p>
    <w:p>
      <w:r>
        <w:t>Lorsque la procédure de détermination de l'Etat responsable n'est pas close, il convient d'appliquer l'art. 20 par. 5 RD III. Cette disposition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(art. 2 let. e RD III) pendant la procédure de détermination de l'Etat membre responsable de l'examen de la demande de protection internationale, ceci en vue d'achever ladite procédure (cf. arrêt du TAF F-2431/2022 du 14 juin 2022 consid. 5.2 s. ; arrêt de Grande Chambre de la Cour de justice de l'Union européenne [CJUE], affaires jointes C-582/17 et C-583/17 du 2 avril 2019, points 47 ss, ECLI:EU:C:2019:280).</w:t>
      </w:r>
    </w:p>
    <w:p>
      <w:r>
        <w:rPr>
          <w:b/>
        </w:rPr>
        <w:t>E. 2.4.1</w:t>
      </w:r>
    </w:p>
    <w:p>
      <w:r>
        <w:t>En l'occurrence, s'agissant, tout d'abord, du frère du recourant qui a été mis au bénéfice d'une admission provisoire en Suisse, c'est, d'une part, à juste titre que le SEM a retenu qu'un tel lien de parenté n'était pas couvert par la définition de « membres de la famille » au sens de l'art. 2 let. g RD III. D'autre part, le Tribunal relève que les conditions d'application de l'art. 16 par. 1 RD III peuvent être rapprochées de celles de la protection de la vie familiale garantie par l'art. 8 par. 1 CEDH (RS 0.101 ; cf. arrêt du TAF F-25/2023 du 9 janvier 2023 consid. 5.2 et jurisp. cit.). D'après une jurisprudence constante, les relations visées par cette dernière norme sont avant tout celles qui concernent la famille dite nucléaire, soit celles qui existent entre époux ainsi qu'entre parents et enfants mineurs vivant en ménage commun (cf. ATF 147 I 268 consid.1.2.3 ; 144 II 1 consid. 6.1). D'autres liens familiaux ou de parenté peuvent également être protégés lorsqu'il y a un rapport de dépendance particulier dépassant les relations familiales, respectivement les liens émotionnels, usuels (cf. ibid.), par exemple en raison d'un handicap ou d'une maladie grave (cf. ATF 145 I 227 consid. 3.1) En l'espèce, le recourant a certes vécu sous le même toit que son frère en Afghanistan, puis a voyagé avec lui jusqu'en Suisse. Cela étant, il ne ressort pas du dossier que leur relation puisse être assimilée à un rapport de dépendance tel qu'exigé par la jurisprudence précitée, d'autant moins que le SEM a considéré que le frère de l'intéressé était majeur.</w:t>
      </w:r>
    </w:p>
    <w:p>
      <w:r>
        <w:rPr>
          <w:b/>
        </w:rPr>
        <w:t>E. 2.4.2</w:t>
      </w:r>
    </w:p>
    <w:p>
      <w:r>
        <w:t>Par ailleurs, à la suite de la requête soumise par le SEM dans le délai prescrit par l'art. 23 par. 2 al. 1 RD III, les autorités croates compétentes ont, dans le délai fixé à l'art. 25 par. 1 RD III, expressément accepté de reprendre en charge l'intéressé sur la base de l'art. 20 par. 5 RD III, afin de poursuivre la procédure de détermination de l'Etat Dublin compétent.</w:t>
      </w:r>
    </w:p>
    <w:p>
      <w:r>
        <w:rPr>
          <w:b/>
        </w:rPr>
        <w:t>E. 2.4.3</w:t>
      </w:r>
    </w:p>
    <w:p>
      <w:r>
        <w:t>Au vu de ce qui précède et dans la mesure où aucun élément au dossier n'indique que le recourant aurait quitté le territoire des Etats membres ou aurait obtenu un titre de séjour de la part d'un autre Etat membre dans l'intervalle (art. 20 par. 5 al. 2 RD III), c'est bien la Croatie qui est responsable pour sa procédure d'asile.</w:t>
      </w:r>
    </w:p>
    <w:p>
      <w:r>
        <w:rPr>
          <w:b/>
        </w:rPr>
        <w:t>E. 3.1</w:t>
      </w:r>
    </w:p>
    <w:p>
      <w:r>
        <w:t>Pour s'opposer à son transfert, l'intéressé a exposé avoir fait l'objet de mauvais traitements en Croatie et a invoqué la présence de son frère cadet en Suisse ainsi que son état de santé précaire.</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3.3</w:t>
      </w:r>
    </w:p>
    <w:p>
      <w:r>
        <w:t>S'agissant tout d'abord des violences perpétrées par les autorités croates, le Tribunal considère que les déclarations du recourant et les photographies produites - dont il ne ressort aucune information ni sur le lieu exact ni la date ni même le contexte où elles ont été prises - ne sauraient suffire à démontrer que celui-ci serait ou risquerait d'être soumis à des traitements inhumains ou dégradants après son transfert vers la Croatie. Sans cautionner nullement les mauvais traitements dont le recourant aurait été victime de la part des policiers croates antérieurement au dépôt de sa demande d'asile, il relève que celui-ci est entré illégalement en Croatie. Sa situation initiale ne saurait dès lors être assimilée à celle à laquelle il sera confronté à son retour dans ce pays dans le cadre de la procédure Dublin. Dans son arrêt de référence E-1488/2020 du 22 mars 2023 (en particulier à son consid. 9.5), le Tribunal a, en effet, conclu qu'il pouvait continuer à être présumé que les requérants d'asile, retournant en Croatie en vertu de l'application du RD III, avaient accès à une procédure d'asile et à des conditions d'accueil conformes aux règles européennes en la matière.</w:t>
      </w:r>
    </w:p>
    <w:p>
      <w:r>
        <w:rPr>
          <w:b/>
        </w:rPr>
        <w:t>E. 3.4</w:t>
      </w:r>
    </w:p>
    <w:p>
      <w:r>
        <w:t>Concernant son état de santé, le recourant a allégué présenter des douleurs, en particulier aux jambes, ainsi que des problèmes psychologiques et avoir besoin d'un suivi médical. A cet égard, force est de constater qu'aucun document médical ne figure au dossier de première instance ni n'a été produit au stade du recours. Ces problèmes de santé se limitent ainsi à de simples affirmations. En tout état de cause, la Croatie, qui est liée par la directive Accueil (référence complète : directive no 2013/33/UE du Parlement européen et du Conseil du 26 juin 2013 établissant des normes pour l'accueil des personnes demandant la protection internationale [refonte ; JO L 180 du 29.06.2013]) et dispose de structures médicales suffisantes (cf. p.ex. arrêts du TAF F-6136/2025 du 25 août 2025 consid. 2.3 ; F-5174/2025 du 23 juillet 2025 consid. 5.6.4),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ces conditions, il n'appert pas que la situation médicale de l'intéressé présente, en l'état, une gravité telle que l'exécution de son transfert vers la Croatie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w:t>
      </w:r>
    </w:p>
    <w:p>
      <w:r>
        <w:rPr>
          <w:b/>
        </w:rPr>
        <w:t>E. 3.5</w:t>
      </w:r>
    </w:p>
    <w:p>
      <w:r>
        <w:t>Quant à l'éventuelle application de l'art. 8 CEDH en lien avec la présence du frère du recourant, il est renvoyé aux développements effectués sous l'angle de l'art. 16 par. 1 RD III (cf. supra, consid. 2.4.1).</w:t>
      </w:r>
    </w:p>
    <w:p>
      <w:r>
        <w:rPr>
          <w:b/>
        </w:rPr>
        <w:t>E. 3.6</w:t>
      </w:r>
    </w:p>
    <w:p>
      <w:r>
        <w:t>Il s'ensuit que le transfert de l'intéressé en Croatie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4</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9 septembre 2025 sont caduques.</w:t>
      </w:r>
    </w:p>
    <w:p>
      <w:r>
        <w:rPr>
          <w:b/>
        </w:rPr>
        <w:t>E. 6.1</w:t>
      </w:r>
    </w:p>
    <w:p>
      <w:r>
        <w:t>Par ailleurs les conclusions du recours étant d'emblée vouées à l'échec, la demande d'assistance judiciaire partielle et totale est rejetée.</w:t>
      </w:r>
    </w:p>
    <w:p>
      <w:r>
        <w:rPr>
          <w:b/>
        </w:rPr>
        <w:t>E. 6.2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