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F-6796/2018 vom 21. August 2019</w:t>
      </w:r>
    </w:p>
    <w:p>
      <w:r>
        <w:t>Bundesverwaltungsgericht, 2019-08-21, FR</w:t>
      </w:r>
    </w:p>
    <w:p>
      <w:r>
        <w:rPr>
          <w:b/>
        </w:rPr>
        <w:t xml:space="preserve">Quelle: </w:t>
      </w:r>
      <w:r>
        <w:t>https://mcp.opencaselaw.ch/entscheid/bvger_F-6796_2018</w:t>
      </w:r>
    </w:p>
    <w:p>
      <w:r>
        <w:t>FR: TAF F-6796/2018 du 21 août 2019</w:t>
      </w:r>
    </w:p>
    <w:p>
      <w:r>
        <w:t>IT: TAF F-6796/2018 del 21 agosto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TAF F-1633/2018 du 26 novembre 2018 consid. 4).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3531 ; voir également ATF 135 II 1 consid. 1.1 et ATAF 2014/1 consid. 4.1.1).</w:t>
      </w:r>
    </w:p>
    <w:p>
      <w:r>
        <w:rPr>
          <w:b/>
        </w:rPr>
        <w:t>E. 4.1</w:t>
      </w:r>
    </w:p>
    <w:p>
      <w:r>
        <w:t>L'ancienne ordonnance du 22 octobre 2008 sur l'entrée et l'octroi de visas (aOEV, RO 2008 3087) a été remaniée et remplacée par l'ordonnance du 15 août 2018 sur l'entrée et l'octroi de visas, entrée en vigueur le 15 septembre 2018 (OEV, RS 142.204).</w:t>
      </w:r>
    </w:p>
    <w:p>
      <w:r>
        <w:rPr>
          <w:b/>
        </w:rPr>
        <w:t>E. 4.2</w:t>
      </w:r>
    </w:p>
    <w:p>
      <w:r>
        <w:t>Dans le cas particulier, la décision querellée a été prononcée en date du 11 septembre 2018, soit avant l'entrée en vigueur du nouveau droit.</w:t>
      </w:r>
    </w:p>
    <w:p>
      <w:r>
        <w:rPr>
          <w:b/>
        </w:rPr>
        <w:t>E. 4.3</w:t>
      </w:r>
    </w:p>
    <w:p>
      <w:r>
        <w:t>L'art. 70 OEV stipule que le nouveau droit s'applique aux procédures pendantes à la date de son entrée en vigueur. Cette réglementation correspond au principe général concernant l'application ratione temporis du droit, qui prévoit qu'en cas de changement de législation, sont en principe applicables les dispositions légales en vigueur lors de la réalisation de l'état de fait qui doit être apprécié juridiquement et qui a des conséquences juridiques (cf. notamment ATF 140 V 136 consid. 4.2.1, 139 V 335 consid. 6.2 et 137 V 105 consid. 5.3.1).</w:t>
      </w:r>
    </w:p>
    <w:p>
      <w:r>
        <w:rPr>
          <w:b/>
        </w:rPr>
        <w:t>E. 4.4</w:t>
      </w:r>
    </w:p>
    <w:p>
      <w:r>
        <w:t>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à régler un comportement futur (cf. notamment ATF 139 II 263 consid. 6 et 139 II 243 consid. 11.1).</w:t>
      </w:r>
    </w:p>
    <w:p>
      <w:r>
        <w:rPr>
          <w:b/>
        </w:rPr>
        <w:t>E. 4.5</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(cf. ATF 141 II 393 consid. 2.4, 139 II 470 consid. 4.2 et 135 II 384 consid. 2.3).</w:t>
      </w:r>
    </w:p>
    <w:p>
      <w:r>
        <w:rPr>
          <w:b/>
        </w:rPr>
        <w:t>E. 4.6</w:t>
      </w:r>
    </w:p>
    <w:p>
      <w:r>
        <w:t>Une autre exception se conçoit dans l'hypothèse où le nouveau droit permettrait la révocation de la décision prise selon l'ancien droit, ainsi que dans l'hypothèse où la nouvelle règlementation est plus favorable à l'administré que l'ancien droit (à ce sujet, cf. notamment Dubey et Zufferey, Droit administratif général, 2014, n° 366s p. 132 et Moor, Flückiger et Martenet, Droit administratif, Vol. 1, 2012, pt. 2.4.2.4 p. 194).</w:t>
      </w:r>
    </w:p>
    <w:p>
      <w:r>
        <w:rPr>
          <w:b/>
        </w:rPr>
        <w:t>E. 4.7</w:t>
      </w:r>
    </w:p>
    <w:p>
      <w:r>
        <w:t>En l'occurrence, la procédure relative à la demande d'autorisation d'entrée en Suisse du 10 mars 2018 n'est plus pendante au sens de l'art. 70 OEV depuis le prononcé de la décision du SEM du 11 septembre 2018, bien que ce prononcé ne soit pas encore définitif et exécutoire en raison de la présente procédure de recours.</w:t>
      </w:r>
    </w:p>
    <w:p>
      <w:r>
        <w:rPr>
          <w:b/>
        </w:rPr>
        <w:t>E. 4.8</w:t>
      </w:r>
    </w:p>
    <w:p>
      <w:r>
        <w:t>Aussi, dans la mesure où le Tribunal n'a pas à prendre en considération un changement de loi intervenu au cours d'une procédure de recours (cf. consid. 4.5 ci-avant), il y aurait en principe lieu d'appliquer l'ancien droit en l'occurrence. Cela étant, le Tribunal considère que les principes rappelés ci-avant ne s'opposent pas à une application exceptionnelle du nouveau droit dans le cadre de la présente procédure de recours, dès lors que la nouvelle règlementation n'est pas moins favorable pour les recourants que l'ancien droit.</w:t>
      </w:r>
    </w:p>
    <w:p>
      <w:r>
        <w:rPr>
          <w:b/>
        </w:rPr>
        <w:t>E. 5.1</w:t>
      </w:r>
    </w:p>
    <w:p>
      <w:r>
        <w:t>En se fondant sur l'art. 5 al. 4 LEI (RS 142.20 ; étant précisé que depuis l'entrée en vigueur, le 1er janvier 2019, du deuxième volet de la modification de la LEtr du 16 décembre 2016 [RO 2018 3171], cette loi a une nouvelle dénomination, à savoir loi fédérale sur les étrangers et l'intégration [LEI]) - qui constitue une base légale suffisante (cf. ATAF 2018 VII/5 consid. 3.6.1)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(Règlement (CE) 810/2009 du Parlement européen et du Conseil du 13 juillet 2009 établissant un code communautaire des visas [JO L 243 du 15 septembre 2009, p. 1-58]) ; à ce sujet, cf. l'arrêt CJUE C-638/16, X et X contre Etat belge [Grande chambre], voir également ATAF 2018 VII/5 consid. 3.5).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ATAF 2018 VII/5 consid. 3.6.2).</w:t>
      </w:r>
    </w:p>
    <w:p>
      <w:r>
        <w:rPr>
          <w:b/>
        </w:rPr>
        <w:t>E. 5.3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5.4</w:t>
      </w:r>
    </w:p>
    <w:p>
      <w:r>
        <w:t>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w:t>
      </w:r>
    </w:p>
    <w:p>
      <w:r>
        <w:rPr>
          <w:b/>
        </w:rPr>
        <w:t>E. 5.5</w:t>
      </w:r>
    </w:p>
    <w:p>
      <w:r>
        <w:t>La demande de visa doit donc être examinée avec soin et de façon restrictive, en tenant compte de la menace actuelle, de la situation personnelle de l'intéressé et de la situation prévalant dans son pays d'origine ou de provenance (cf. ATAF 2018 VII/5 consid. 3.6.3).</w:t>
      </w:r>
    </w:p>
    <w:p>
      <w:r>
        <w:rPr>
          <w:b/>
        </w:rPr>
        <w:t>E. 5.6</w:t>
      </w:r>
    </w:p>
    <w:p>
      <w:r>
        <w:t>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6.1</w:t>
      </w:r>
    </w:p>
    <w:p>
      <w:r>
        <w:t>En l'occurrence, les recourants, en tant que tant que ressortissants syrien et palestiniens,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6.2</w:t>
      </w:r>
    </w:p>
    <w:p>
      <w:r>
        <w:t>Il n'est pas contesté que les conditions générales pour l'octroi d'un visa Schengen uniforme ne sont pas remplies. C'est ainsi à bon droit que les requérants n'ont pas été mis au bénéfice d'un tel visa (cf. art. 14 par. 1 et art. 21 par. 1 Code des visas, en relation avec l'art. 5 al. 2 LEI).</w:t>
      </w:r>
    </w:p>
    <w:p>
      <w:r>
        <w:rPr>
          <w:b/>
        </w:rPr>
        <w:t>E. 6.3</w:t>
      </w:r>
    </w:p>
    <w:p>
      <w:r>
        <w:t>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(cf. supra consid. 5.2 in fine).</w:t>
      </w:r>
    </w:p>
    <w:p>
      <w:r>
        <w:rPr>
          <w:b/>
        </w:rPr>
        <w:t>E. 6.4</w:t>
      </w:r>
    </w:p>
    <w:p>
      <w:r>
        <w:t>Partant, l'objet du présent litige est limité à la question de savoir si le SEM était fondé à refuser l'octroi d'un visa national de long séjour pour motifs humanitaires fondé sur l'art. 2 al. 4 aOEV et s'il y a lieu de confirmer cette décision en application de l'art. 4 al. 2 OEV (cf. consid. 4 supra).</w:t>
      </w:r>
    </w:p>
    <w:p>
      <w:r>
        <w:rPr>
          <w:b/>
        </w:rPr>
        <w:t>E. 7.1</w:t>
      </w:r>
    </w:p>
    <w:p>
      <w:r>
        <w:t>Malgré les tensions affectant le pays de provenance des intéressés en raison notamment du mécontentement populaire grandissant face aux blocages politiques entre les différentes communautés ethniques et religieuses, ainsi que de l'afflux massif de réfugiés en provenance de Syrie, la situation prévalant au Liban doit être qualifiée de relativement stable sur les plans sociopolitique et sécuritaire (en ce sens, cf. notamment les arrêts du TAF D-2947/2019 du 26 juin 2019 p. 10 et E-310/2018 du 29 août 2018 p. 6).</w:t>
      </w:r>
    </w:p>
    <w:p>
      <w:r>
        <w:rPr>
          <w:b/>
        </w:rPr>
        <w:t>E. 7.2</w:t>
      </w:r>
    </w:p>
    <w:p>
      <w:r>
        <w:t>Le Tribunal n'entend pas mettre en doute le fait que les réfugiés palestiniens sont soumis à des discriminations au Liban, notamment en matière d'accès au marché du travail. En outre, l'afflux massif de réfugiés palestiniens dans ce pays est source de tensions (sur la situation des réfugiés palestiniens au Liban, cf. notamment l'arrêt du TAF F-3617/2016 du 3 octobre 2017 consid. 6.2 et 6.3). Cela étant, le Tribunal ne peut que confirmer l'analyse opérée par l'autorité inférieure, selon laquelle les intéressés ne se trouvent pas, à Beyrouth, dans une situation de conflit armé particulièrement aiguë, ni exposés personnellement à une menace de nature à rendre impérative l'intervention des autorités helvétiques.</w:t>
      </w:r>
    </w:p>
    <w:p>
      <w:r>
        <w:rPr>
          <w:b/>
        </w:rPr>
        <w:t>E. 7.3</w:t>
      </w:r>
    </w:p>
    <w:p>
      <w:r>
        <w:t>A l'appui de leur requête, les intéressés ont en effet essentiellement fait valoir des arguments d'ordre économique. De tels motifs ne sont toutefois pas susceptibles de justifier l'octroi d'un visa national pour motifs humanitaires, puisque la délivrance d'une telle autorisation présuppose en principe l'existence d'une menace directe, sérieuse et concrète pour la vie ou l'intégrité physique de la personne concernée imposant une intervention des autorités helvétiques (cf. consid. 5.3 supra). Or, les problèmes auxquels A._______ est confronté dans ses recherches d'emploi et partant dans la prise en charge des dépenses quotidiennes de sa famille (en lien notamment avec le loyer et les frais d'école) ne sauraient constituer une telle situation de danger imminent. Dans ce contexte, on ne saurait par ailleurs perdre de vue que les intéressés ont la possibilité de solliciter l'assistance de l'UNRWA, organisation créée pour soutenir les réfugiés palestiniens vivant au Proche-Orient en matière d'accès à l'emploi, à l'éducation, aux soins et au logement.</w:t>
      </w:r>
    </w:p>
    <w:p>
      <w:r>
        <w:rPr>
          <w:b/>
        </w:rPr>
        <w:t>E. 7.4</w:t>
      </w:r>
    </w:p>
    <w:p>
      <w:r>
        <w:t>S'agissant des besoins particuliers de C._______, qui souffre de troubles neurologiques et psychiques, les recourants n'ont pas fait valoir que l'intéressée ne pourrait pas avoir accès, au Liban, aux soins essentiels qu'elle nécessite. Au vu des pièces figurant au dossier, il n'apparaît au demeurant pas que les troubles de la prénommée soient d'une gravité particulière (sur les éléments qui précèdent, cf. notamment la notice de l'Ambassade du 2 août 2018 dont il ressort que la fille est suivie par un orthophoniste et ne prend pas de médicaments).</w:t>
      </w:r>
    </w:p>
    <w:p>
      <w:r>
        <w:rPr>
          <w:b/>
        </w:rPr>
        <w:t>E. 7.5</w:t>
      </w:r>
    </w:p>
    <w:p>
      <w:r>
        <w:t>Quant à l'arrestation dont le recourant a fait l'objet en printemps 2018, force est de constater que la description vague fournie par l'intéressé au sujet des traitements discriminatoires subis ne saurait suffire pour retenir l'existence d'une menace contre sa vie ou son intégrité physique. Le recourant s'est en effet essentiellement plaint de la durée des interrogatoires et de l'étendue des investigations entreprises jusqu'à sa remise en liberté. Il n'a toutefois pas allégué avoir souffert de séquelles physiques ou psychiques importantes. En outre, au vu des pièces figurant au dossier, A._______ n'a pas fait l'objet de nouvelles mesures de contrainte de la part des autorités depuis sa libération.</w:t>
      </w:r>
    </w:p>
    <w:p>
      <w:r>
        <w:rPr>
          <w:b/>
        </w:rPr>
        <w:t>E. 7.6</w:t>
      </w:r>
    </w:p>
    <w:p>
      <w:r>
        <w:t>Partant, sans vouloir remettre en cause les difficultés rencontrées par les recourants dans leur quotidien en raison notamment de la situation socio-économique difficile prévalant dans leur pays de résidence, le Tribunal considère que c'est à bon droit que le SEM a retenu que les intéressés ne se trouvaient pas dans une situation de danger imminent justifiant l'octroi d'un visa national pour motifs humanitaires.</w:t>
      </w:r>
    </w:p>
    <w:p>
      <w:r>
        <w:rPr>
          <w:b/>
        </w:rPr>
        <w:t>E. 8</w:t>
      </w:r>
    </w:p>
    <w:p>
      <w:r>
        <w:t>Il s'ensuit que, par sa décision du 11 septembre 2018, le SEM n'a ni violé le droit fédéral, ni constaté des faits pertinents de manière inexacte ou incomplète ; en outre, cette décision n'est pas inopportune (cf. art. 49 PA). En conséquence, le recours est rejeté. Vu l'issue de la cause, il y aurait lieu de mettre les frais de procédure à la charge des intéressés, conformément à l'art. 63 al. 1 PA et aux art. 1 à 3 du règlement du 21 février 2008 concernant les frais, dépens et indemnités fixés par le Tribunal administratif fédéral (FITAF, RS 173.320.2). Toutefois, eu égard aux circonstances particulières du cas et à leur situation difficile, il y sera renoncé, de manière exceptionnelle (art. 63 al. 1 PA in fine et art. 6 let. b FITAF) .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