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F-6775/2017 vom 10. Mai 2019</w:t>
      </w:r>
    </w:p>
    <w:p>
      <w:r>
        <w:t>Bundesverwaltungsgericht, 2019-05-10, FR</w:t>
      </w:r>
    </w:p>
    <w:p>
      <w:r>
        <w:rPr>
          <w:b/>
        </w:rPr>
        <w:t xml:space="preserve">Quelle: </w:t>
      </w:r>
      <w:r>
        <w:t>https://mcp.opencaselaw.ch/entscheid/bvger_F-6775_2017</w:t>
      </w:r>
    </w:p>
    <w:p>
      <w:r>
        <w:t>FR: TAF F-6775/2017 du 10 mai 2019</w:t>
      </w:r>
    </w:p>
    <w:p>
      <w:r>
        <w:t>IT: TAF F-6775/2017 del 10 maggio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1.2</w:t>
      </w:r>
    </w:p>
    <w:p>
      <w:r>
        <w:t>A moins que la LTAF n'en dispose autrement, la procédure devant le Tribunal est régie par la PA (cf. art. 37 LTAF).</w:t>
      </w:r>
    </w:p>
    <w:p>
      <w:r>
        <w:rPr>
          <w:b/>
        </w:rPr>
        <w:t>E. 1.3</w:t>
      </w:r>
    </w:p>
    <w:p>
      <w:r>
        <w:t>A._______ a qualité pour recourir (cf. art. 48 al. 1 PA). En outre, présenté dans la forme et les délais prescrits par la loi, le recours est recevable (cf. art. 50 et 52 PA).</w:t>
      </w:r>
    </w:p>
    <w:p>
      <w:r>
        <w:rPr>
          <w:b/>
        </w:rPr>
        <w:t>E. 2.1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RS 142.201, RO 2018 3173).</w:t>
      </w:r>
    </w:p>
    <w:p>
      <w:r>
        <w:rPr>
          <w:b/>
        </w:rPr>
        <w:t>E. 2.2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s'agissant de l'OASA qui sera citée selon sa teneur valable jusqu'au 31 décembre 2018 (cf., dans ce sens, arrêt du TAF F-3709/2017 du 15 janvier 2019 consid. 2).</w:t>
      </w:r>
    </w:p>
    <w:p>
      <w:r>
        <w:rPr>
          <w:b/>
        </w:rPr>
        <w:t>E. 3</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qui applique le droit d'office, n'est pas liée par les motifs invoqués par les parties (art. 62 al. 4 PA), ni par les considérants juridiques de la décision attaquée (cf. notamment arrêt du Tribunal fédéral [ci-après : TF] 1C_214/2015 du 6 novembre 2015 consid. 2.2.2;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rPr>
          <w:b/>
        </w:rPr>
        <w:t>E. 4</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le SPOP a soumis sa décision à l'approbation du SEM en conformité avec la législation et la jurisprudence (à ce sujet, cf. ATF 141 II 169 consid. 4). Il s'ensuit que le SEM et, a fortiori, le Tribunal ne sont pas liés par la décision du SPOP d'octroyer une autorisation de séjour à la recourante et peuvent s'écarter de l'appréciation faite par cette autorité.</w:t>
      </w:r>
    </w:p>
    <w:p>
      <w:r>
        <w:rPr>
          <w:b/>
        </w:rPr>
        <w:t>E. 5.1</w:t>
      </w:r>
    </w:p>
    <w:p>
      <w:r>
        <w:t>A titre préliminaire, il convient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Aussi, les autorités fédérales ne peuvent se prononcer sur l'octroi d'une autorisation de séjour en vertu d'une autre disposition que celle dont l'autorité cantonale a fait application (cf. notamment l'arrêt du TAF F-1651/2017 du 30 mai 2018 consid. 7.2 et la référence citée).</w:t>
      </w:r>
    </w:p>
    <w:p>
      <w:r>
        <w:rPr>
          <w:b/>
        </w:rPr>
        <w:t>E. 5.2</w:t>
      </w:r>
    </w:p>
    <w:p>
      <w:r>
        <w:t>En l'occurrence, le SPOP s'est déclaré favorable, par courrier du 14 mars 2017, à l'octroi d'une autorisation de séjour UE/AELE fondée sur l'art. 20 OLCP en faveur de la recourante. Il a toutefois expressément refusé l'application de l'art. 24 ALCP après avoir retenu que les conditions faisaient défaut en l'espèce. Par conséquent, c'est à tort que le SEM a examiné, dans sa décision du 31 octobre 2017, si l'intéressée pouvait se prévaloir des droits conférés par l'ALCP. Par ailleurs, si la recourante entendait invoquer le droit de demeurer prévu par l'art. 24 Annexe I ALCP ou une autre disposition pour demander un titre de séjour en Suisse, il lui était loisible de contester la décision de l'autorité cantonale compétente devant le Tribunal cantonal (cf., dans le même sens, arrêt du TAF F-253/2017 du 9 août 2018 consid. 3.2). Dans ce sens, la conclusion du recours tendant à la délivrance d'une autorisation de séjour UE/AELE fondée sur un droit de demeurer au sens de l'art. 4 annexe I ALCP est irrecevable. Partant, dans la présente procédure de recours, le Tribunal se limitera à examiner si c'est à bon droit que l'autorité intimée a refusé de donner son aval à l'octroi d'une autorisation de séjour UE/AELE fondée sur l'art. 20 OLCP en faveur de la recourante.</w:t>
      </w:r>
    </w:p>
    <w:p>
      <w:r>
        <w:rPr>
          <w:b/>
        </w:rPr>
        <w:t>E. 6</w:t>
      </w:r>
    </w:p>
    <w:p>
      <w:r>
        <w:t>Aux termes de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w:t>
      </w:r>
    </w:p>
    <w:p>
      <w:r>
        <w:rPr>
          <w:b/>
        </w:rPr>
        <w:t>E. 6.1</w:t>
      </w:r>
    </w:p>
    <w:p>
      <w:r>
        <w:t>Il convient de noter ici que les conditions posées à l'admission de l'existence de motifs importants au sens de l'art. 20 OLCP correspondent à celles posées à la reconnaissance d'un cas de rigueur en vertu de l'art. 30 al. 1 let. b LEtr en lien avec les précisions apportées par l'art. 31 OASA, de sorte qu'une application de l'art. 30 al. 1 let. b LEtr ne saurait entrer en ligne de compte si les exigences prévues par l'art. 20 OLCP ne sont pas réalisées (cf., dans le même sens, l'arrêt du TAF F-6272/2016 du 15 août 2018 consid. 4.3). Comme pour le cas de rigueur régi par l'art. 30 al. 1 let. b LEtr, l'art. 20 OLCP ne confère pas de droit de présence en Suisse (cf. les arrêts du TF 2C_59/2017 du 4 avril 2017 consid. 1.3 et 2C_545/2015 du 14 décembre 2015 consid. 5 et la jurisprudence citée).</w:t>
      </w:r>
    </w:p>
    <w:p>
      <w:r>
        <w:rPr>
          <w:b/>
        </w:rPr>
        <w:t>E. 6.2</w:t>
      </w:r>
    </w:p>
    <w:p>
      <w:r>
        <w:t>A teneur de l'art. 30 al. 1 let. b LEtr,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let. b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137 II 1 consid. 4.1).</w:t>
      </w:r>
    </w:p>
    <w:p>
      <w:r>
        <w:rPr>
          <w:b/>
        </w:rPr>
        <w:t>E. 6.3</w:t>
      </w:r>
    </w:p>
    <w:p>
      <w:r>
        <w:t>Selon la jurisprudence constante relative à la reconnaissance des cas de rigueur en application de l'art. 30 al. 1 let. b LEtr,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137 II 345 consid. 3.2.1 et 130 II 39 consid. 3).</w:t>
      </w:r>
    </w:p>
    <w:p>
      <w:r>
        <w:rPr>
          <w:b/>
        </w:rPr>
        <w:t>E. 6.4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Minh Son Nguyen, in : Nguyen/Amarelle, Code annoté du droit des migrations, volume II : Loi sur les étrangers (LEtr), 2017, ad art. 30 n° 16ss, RAHEL DIETHELM, La régularisation des sans-papiers à l'aune de l'art. 30 al. 1 let. b LEtr, une analyse de la jurisprudence du Tribunal administratif fédéral, in : Actualité du droit des étrangers, 2016 vol. I, p. 5s et p. 19ss, Vuille/Schenk, L'article 14 alinéa 2 de la loi sur l'asile et la notion d'intégration, in : Cesla Amarelle [éd.],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TAF C-636/2010 du 14 décembre 2010 [partiellement publié in : ATAF 2010/55] consid. 5.3 ; DIETHELM, op. cit., p. 19ss ; Vuille/Schenk, op. cit., p. 114s). Les directives OLCP du SEM (version de janvier 2019, consultables sur le site : www.sem.admin.ch &gt; Publications &amp; service &gt; Directives et circulaires &gt; II. Accord sur la libre circulation des personnes &gt; Directives OLCP, consultées en avril 2019) précisent que dans la mesure où l'admission des personnes sans activité lucrative dépend simplement de l'existence de moyens financiers suffisants et d'une affiliation à une caisse maladie, les cas visés par l'art. 20 OLCP en relation avec l'art. 31 OASA ne sont en principe envisageables que dans de rares situations, notamment lorsque les moyens financiers manquent ou, dans des cas d'extrême gravité, pour les membres de la famille ne pouvant pas se prévaloir des dispositions sur le regroupement familial (cf. le ch. 8.5 des directives OLCP, voir également l'arrêt du TAF F-2848/2015 du 30 janvier 2018 consid. 8.4).</w:t>
      </w:r>
    </w:p>
    <w:p>
      <w:r>
        <w:rPr>
          <w:b/>
        </w:rPr>
        <w:t>E. 6.5</w:t>
      </w:r>
    </w:p>
    <w:p>
      <w:r>
        <w:t>Dans le cas d'espèce, le SEM a considéré que les conditions pour la reconnaissance d'un cas de rigueur n'étaient pas réalisées, les attaches en Suisse de la recourante n'étant pas suffisamment étroites au point de faire obstacle à un renvoi en Italie. De son côté, la recourante a fait valoir qu'un renvoi en Italie, un pays où elle a résidé de 2000 à 2008 uniquement, aurait des conséquences importantes sur son état de santé. En effet, selon le certificat médical du 20 juillet 2017, produit en annexe au mémoire de recours du 30 novembre 2017, sa maladie peut être décompensée par tout changement même mineur, sa tolérance au stress est très faible et ses capacités d'adaptation très pauvres. Le projet de reconduite en dehors du territoire suisse dans un pays où elle n'a plus aucun lien ni aucun repère est hautement persécuteur dans son vécu et risque d'entraîner une décompensation majeure et dangereuse. Il convient donc d'examiner si les conditions de vie de l'intéressée seraient gravement compromises en cas de renvoi en Italie.</w:t>
      </w:r>
    </w:p>
    <w:p>
      <w:r>
        <w:rPr>
          <w:b/>
        </w:rPr>
        <w:t>E. 6.5.1</w:t>
      </w:r>
    </w:p>
    <w:p>
      <w:r>
        <w:t>Il ressort du dossier que la recourante est arrivée légalement en Suisse en décembre 2008, soit à l'âge de 31 ans, dans le but d'y travailler. Suite à son hospitalisation, en septembre 2012, l'intéressée n'a plus été en mesure de reprendre une activité lucrative et par décision du 19 mars 2015 2015, elle a été mise au bénéfice d'une rente entière d'invalidité, basée sur un degré d'invalidité à 100%. Par ailleurs, depuis décembre 2011, l'intéressée bénéficie du RI, respectivement, depuis 2015, de prestations complémentaires. Dans ces conditions, la recourante ne saurait se prévaloir d'une intégration professionnelle réussie en Suisse.</w:t>
      </w:r>
    </w:p>
    <w:p>
      <w:r>
        <w:rPr>
          <w:b/>
        </w:rPr>
        <w:t>E. 6.5.2</w:t>
      </w:r>
    </w:p>
    <w:p>
      <w:r>
        <w:t>Sous un autre angle, on ne saurait considérer qu'elle a noué avec la Suisse une relation à ce point étroite qu'on ne pourrait plus exiger de sa part qu'elle s'installe à l'étranger. A ce sujet, le Tribunal observe que si l'intéressée vit depuis 2008 en Suisse, soit depuis près de 11 ans, il n'en demeure pas moins qu'elle ne peut se prévaloir d'une intégration sociale particulièrement poussée. Il apparaît au contraire que l'intéressée fait l'objet, depuis janvier 2015, d'une curatelle de représentation et de gestion en raison de sa pathologie. Dans sa séance du 23 janvier 2015, au cours de laquelle la Justice de paix a institué cette mesure, cette autorité a relevé que l'intéressée souffrait - entre autre - d'un isolement social. Sa curatrice, quant à elle a, par courrier du 13 août 2017 joint au mémoire de recours du 30 novembre 2017, relevé qu'elle rencontrait l'intéressée toutes les 2 à 3 semaines et qu'elle la soutenait dans tous ses contacts. Par ailleurs, le rapport médical établi le 8 septembre 2014 et également joint au mémoire de recours du 30 novembre 2017 retient que le tableau clinique reste fragile et est caractérisé par une méfiance dans le contact (...), un isolement social (...). Quant au certificat médical établi le 20 juillet 2017, il retient en particulier que le rapport aux autres est empreint d'un sentiment d'hostilité entrainant un repli sur soi et un isolement social. A cela s'ajoute que l'intéressée est célibataire et ne possède aucun lien familial en Suisse. Il n'existe ainsi aucun élément, sur le plan socio-culturel, qui permettrait de justifier la poursuite du séjour en Suisse de l'intéressée.</w:t>
      </w:r>
    </w:p>
    <w:p>
      <w:r>
        <w:rPr>
          <w:b/>
        </w:rPr>
        <w:t>E. 6.5.3</w:t>
      </w:r>
    </w:p>
    <w:p>
      <w:r>
        <w:t>Sur le plan médical, il ressort du rapport médical établi le 20 juillet 2017 joint au mémoire de recours du 30 novembre 2017 que l'intéressée est atteinte de troubles psychiatriques chroniques et sévères évoluant depuis environ 6 ans. Ces troubles n'ont pas connu de rémission et se sont progressivement aggravés. De plus, ils ont nécessité un séjour hospitalier en milieu psychiatrique à deux reprises. A ce sujet, il importe de rappeler que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et la jurisprudence citée). Dans le cas particulier, la recourante n'a nullement démontré que le suivi médical dont elle doit encore faire l'objet, tant sur le plan somatique que psychique, serait indisponible en Italie, ce pays disposant en effet d'infrastructures hospitalières et psychiatriques comparables à celles de la Suisse, et qu'un départ de Suisse serait ainsi susceptible d'entraîner de graves conséquences sur son état de santé.</w:t>
      </w:r>
    </w:p>
    <w:p>
      <w:r>
        <w:rPr>
          <w:b/>
        </w:rPr>
        <w:t>E. 6.5.4</w:t>
      </w:r>
    </w:p>
    <w:p>
      <w:r>
        <w:t>Par contre, il est évident que l'état de santé de l'intéressée a une incidence négative sur sa capacité de travail, puisqu'elle ne peut plus exercer d'activité lucrative. De ce fait, elle perçoit une rente AI ordinaire d'un montant mensuel de 401 francs et des prestations complémentaires à hauteur d'un montant mensuel de 2'002 francs. En cas de retour en Italie, l'intéressée n'aura plus droit qu'au paiement de sa rente ordinaire (soit 401 francs), car les autres montants de prestations complémentaires ne seraient plus versés (pour la rente ordinaire AI, application du principe de l'exportation des prestations en espèces de sécurité sociale au sens de l'art. 7 du règlement (CE) n° 883/2004 du Parlement européen et du Conseil du 29 avril 2004 portant sur la coordination des systèmes de sécurité sociale [RS 0.831.109.268.1; ci-après : règlement n° 883/2004] ; cf. aussi ATF 141 V 530 consid. 7.1.2 et références citées ; s'agissant des prestations complémentaires, exception au principe de l'exportation en application de l'art. 70 par. 2 let. c et de l'annexe X sous « Suisse » let. a du règlement n° 883/2004). En conséquence, la recourante, en cas de retour en Italie, ne pourrait pas se réintégrer professionnellement en raison de son état de santé ; de plus, le très faible montant de sa rente AI ordinaire, dont elle disposerait, ne suffirait pas à lui seul à assurer un revenu lui permettant de couvrir ses besoins vitaux, ce qui la placerait ainsi dans une situation nettement plus défavorable par rapport à la moyenne des autres compatriotes restés sur place.</w:t>
      </w:r>
    </w:p>
    <w:p>
      <w:r>
        <w:rPr>
          <w:b/>
        </w:rPr>
        <w:t>E. 6.6</w:t>
      </w:r>
    </w:p>
    <w:p>
      <w:r>
        <w:t>En conclusion, les différents éléments relevés ci-avant concernant l'intégration professionnelle et sociale de l'intéressée, ainsi que l'aspect médical de son cas, ne suffisent pas, pris séparément, à constater que la recourante se trouve dans un cas individuel d'une extrême gravité. Cela étant, le Tribunal est toutefois amené à considérer, dans le cadre de l'examen global des circonstances du cas d'espèce, que cette dernière se retrouve dans la catégorie de personne vulnérable au regard de son état de santé l'empêchant d'exercer toute activité lucrative, des besoins spécifiques qu'exige encore actuellement le traitement de sa maladie, des difficultés de réintégration qu'entraînerait son retour en Italie et de l'attente de sa prise en charge sociale par les autorités italiennes, de sorte qu'il y a lieu de considérer qu'elle se trouve dans une situation justifiant exceptionnellement la reconnaissance en sa faveur d'un cas de rigueur grave au sens des art. 20 OLCP et 30 al. 1 let. b LEtr.</w:t>
      </w:r>
    </w:p>
    <w:p>
      <w:r>
        <w:rPr>
          <w:b/>
        </w:rPr>
        <w:t>E. 7</w:t>
      </w:r>
    </w:p>
    <w:p>
      <w:r>
        <w:t>Au vu de ce qui précède, le recours doit donc être admis dans la mesure où il est recevable, la décision attaquée du 31 octobre 2017 annulée et la délivrance par les autorités cantonales d'une autorisation de séjour fondée sur les art. 20 OLCP et 30 al. 1 let. b LEtr approuvée.</w:t>
      </w:r>
    </w:p>
    <w:p>
      <w:r>
        <w:rPr>
          <w:b/>
        </w:rPr>
        <w:t>E. 8</w:t>
      </w:r>
    </w:p>
    <w:p>
      <w:r>
        <w:t>Obtenant gain de cause, la recourante n'a pas à supporter de frais de procédure (cf. art. 63 al. 1 1ère phrase a contrario et art. 65 al. 1 PA), pas plus que l'autorité inférieure qui succombe (cf. art. 63 al. 2 PA). 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dès lors que la recourante a agi par l'entremise du Centre Social Protestant (CSP) Vaud qui fournit ses prestations de manière gratuite et ne facture donc ni services ni débours à ses mandants (à ce sujet, cf. notamment l'arrêt du TAF F-6030/2016 du 8 octobre 2018 consid. 10, et les réf. cit.). Dès lors que les dépens ne peuvent être alloués qu'à la partie et non à son représentant (cf. art. 64 PA), l'on ne saurait retenir, compte tenu de la gratuité des services fournis par le CSP, que la présente procédure a occasionné à la recourante des frais relativement élevés au sens des dispositions précitées. Dans ces conditions, elle ne peut dès lors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