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F-6750/2019 vom 8. Januar 2020</w:t>
      </w:r>
    </w:p>
    <w:p>
      <w:r>
        <w:t>Bundesverwaltungsgericht, 2020-01-08, DE</w:t>
      </w:r>
    </w:p>
    <w:p>
      <w:r>
        <w:rPr>
          <w:b/>
        </w:rPr>
        <w:t xml:space="preserve">Quelle: </w:t>
      </w:r>
      <w:r>
        <w:t>https://mcp.opencaselaw.ch/entscheid/bvger_F-6750_2019</w:t>
      </w:r>
    </w:p>
    <w:p>
      <w:r>
        <w:t>FR: TAF F-6750/2019 du 8 janvier 2020</w:t>
      </w:r>
    </w:p>
    <w:p>
      <w:r>
        <w:t>IT: TAF F-6750/2019 del 8 gennaio 2020</w:t>
      </w:r>
    </w:p>
    <w:p>
      <w:pPr>
        <w:pStyle w:val="Heading2"/>
      </w:pPr>
      <w:r>
        <w:t>Regeste</w:t>
      </w:r>
    </w:p>
    <w:p>
      <w:r>
        <w:t>Nichteintreten auf Asylgesuch und Wegweisung (Dublin-Verfahren)</w:t>
      </w:r>
    </w:p>
    <w:p>
      <w:pPr>
        <w:pStyle w:val="Heading2"/>
      </w:pPr>
      <w:r>
        <w:t>Erwägungen</w:t>
      </w:r>
    </w:p>
    <w:p>
      <w:r>
        <w:rPr>
          <w:b/>
        </w:rPr>
        <w:t>E. 1.1</w:t>
      </w:r>
    </w:p>
    <w:p>
      <w:r>
        <w:t>Auf dem Gebiet des Asyls - in der Regel und auch vorliegend - entscheidet das Bundesverwaltungsgericht endgültig über Beschwerden gegen Verfügungen (Art. 5 VwVG) der Vorinstanz (Art. 105 AsylG i.V.m. Art. 31 33 VGG; Art. 83 Bst. d Ziff. 1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und Art. 48 Abs. 1 VwVG). Auf die im Übrigen frist- und formgerecht eingereichte Beschwerde ist einzutreten (Art. 108 Abs. 3 AsylG und Art. 52 Abs. 1 VwVG).</w:t>
      </w:r>
    </w:p>
    <w:p>
      <w:r>
        <w:rPr>
          <w:b/>
        </w:rPr>
        <w:t>E. 1.3</w:t>
      </w:r>
    </w:p>
    <w:p>
      <w:r>
        <w:t>Über offensichtlich unbegründete Beschwerden wird in einzelrichterlicher Zuständigkeit mit Zustimmung eines zweiten Richters beziehungsweise einer zweiten Richterin entschieden (Art. 111 Bst. e AsylG). Wie nachfolgend aufzuzeigen ist, handelt es sich vorliegend um eine offensichtlich unbegründete Beschwerde, weshalb auf einen Schriftenwechsel verzichtet werden kann und der Beschwerdeentscheid nur summarisch zu begründen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Gemäss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der Dublin-III-VO als zuständiger Staat bestimmt wird (vgl. auch Art. 7 Abs. 1 Dublin-III-VO).</w:t>
      </w:r>
    </w:p>
    <w:p>
      <w:r>
        <w:rPr>
          <w:b/>
        </w:rPr>
        <w:t>E. 3.2</w:t>
      </w:r>
    </w:p>
    <w:p>
      <w:r>
        <w:t>Einem entsprechenden Eintrag in der Eurodac-Datenbank zufolge wurde der Beschwerdeführer am 31. August 2019 in Italien nach seiner illegalen Einreise aus einem Drittstaat aufgegriffen und daktyloskopiert (SEM-act. 6). Gestützt darauf und in Anwendung von Art. 13 Abs. 1 Dublin-III-VO ging die Vorinstanz daher zu Recht von der Zuständigkeit Italiens für die Durchführung des Asyl- und Wegweisungsverfahrens des Beschwerdeführers aus. Das entsprechende Aufnahmeersuchen der Schweiz vom 9. Oktober 2019 (SEM-act. 13) liessen die italienischen Behörden innert der Frist von Art. 22 Abs. 1 Dublin-III-VO unbeantwortet. Damit anerkannten sie die Zuständigkeit Italiens implizit (Art. 22 Abs. 7 Dublin-III-VO). Diese Zuständigkeit ist somit grundsätzlich gegeben, was vom Beschwerdeführer im Übrigen auch nicht bestritten wird.</w:t>
      </w:r>
    </w:p>
    <w:p>
      <w:r>
        <w:rPr>
          <w:b/>
        </w:rPr>
        <w:t>E. 4</w:t>
      </w:r>
    </w:p>
    <w:p>
      <w:r>
        <w:t>Sodann bestehen keine Gründe für die Annahme, das Asylverfahren und die Aufnahmebedingungen für Antragsteller in Italien wiesen systemische Schwachstellen im Sinne von Art. 3 Abs. 2 Sätze 2 und 3 Dublin-III-VO auf. Eine auf Art. 3 Abs. 2 Dublin-III-VO gestützte Zuständigkeit der Schweiz ist deshalb nicht anzunehmen (vgl. statt vieler: Urteil des BVGer D-6252/2019 vom 2. Dezember 2019).</w:t>
      </w:r>
    </w:p>
    <w:p>
      <w:r>
        <w:rPr>
          <w:b/>
        </w:rPr>
        <w:t>E. 5.1</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im Landesrecht durch Art. 29a Abs. 3 der Asylverordnung 1 vom 11. August 1999 (AsylV 1, SR 142.311) konkretisiert. Erweist sich die Überstellung einer asylsuchenden Person in einen Dublin-Mitgliedstaat als unzulässig im Sinne der EMRK oder einer anderen die Schweiz bindenden, völkerrechtlichen Bestimmung, muss die Vorinstanz die Souveränitätsklausel anwenden und das Asylgesuch in der Schweiz behandeln (BVGE 2015/9 E. 8.2.1; 2010/45 E. 7.2).</w:t>
      </w:r>
    </w:p>
    <w:p>
      <w:r>
        <w:rPr>
          <w:b/>
        </w:rPr>
        <w:t>E. 5.2</w:t>
      </w:r>
    </w:p>
    <w:p>
      <w:r>
        <w:t>Der Beschwerdeführer macht in diesem Zusammenhang geltend, die Überstellung nach Italien komme einem Selbstmord gleich, da er als Schlepper zwischen Libyen und Italien tätig gewesen und deshalb von einer kriminellen Organisation mit dem Tod bedroht worden sei.</w:t>
      </w:r>
    </w:p>
    <w:p>
      <w:r>
        <w:rPr>
          <w:b/>
        </w:rPr>
        <w:t>E. 5.3</w:t>
      </w:r>
    </w:p>
    <w:p>
      <w:r>
        <w:t>Konkrete Hinweise, welche diese pauschalen Vorbringen zu stützen vermögen, ergeben sich aus den Akten nicht. Im Gegenteil: Im Rahmen des vorinstanzlichen Verfahrens hatte der Beschwerdeführer gegen eine Überstellung nach Italien lediglich eingewendet, es gebe dort keine Arbeit, dafür viele Drogen, und es werde viel gestohlen (SEM-act. 11). Doch selbst wenn der neu behauptete Sachverhalt zutreffen sollte, könnte ihm keine rechtliche Erheblichkeit zuerkannt werden. Denn Italien ist ein Rechtsstaat mit funktionierenden Polizei- und Justizbehörden, deren Schutz der Beschwerdeführer für sich einfordern und in Anspruch nehmen kann, sollten Befürchtungen der geäusserten Art tatsächlich einmal relevant werden.</w:t>
      </w:r>
    </w:p>
    <w:p>
      <w:r>
        <w:rPr>
          <w:b/>
        </w:rPr>
        <w:t>E. 5.4</w:t>
      </w:r>
    </w:p>
    <w:p>
      <w:r>
        <w:t>Eine völkerrechtliche Verpflichtung zum Selbsteintritt der Schweiz besteht somit klarerweise nicht. Hinweise auf eine gesetzeswidrige Ermessensausübung (vgl. Art. 106 Abs. 1 Bst. a AsylG) durch die Vorinstanz sind vorliegend keine ersichtlich. Es besteht daher kein Grund für eine Anwendung der Ermessensklauseln von Art. 17 Abs. 1 Dublin-III-VO und von Art. 29a Abs. 3 AsylV 1.</w:t>
      </w:r>
    </w:p>
    <w:p>
      <w:r>
        <w:rPr>
          <w:b/>
        </w:rPr>
        <w:t>E. 6</w:t>
      </w:r>
    </w:p>
    <w:p>
      <w:r>
        <w:t>Aus dem bisher Gesagten ergibt sich, dass Italien für die Durchführung des Asyl- und Wegweisungsverfahrens des Beschwerdeführers zuständig ist. Zu Recht ist die Vorinstanz in Anwendung von Art. 31a Abs. 1 Bst. b AsylG auf das Asylgesuch des Beschwerdeführers nicht eingetreten und hat - weil er nicht im Besitz einer gültigen Aufenthalts- oder Niederlassungsbewilligung ist - in Anwendung von Art. 44 AsylG seine Überstellung nach Italien angeordnet (Art. 32 Bst. a AsylV 1). Die Beschwerde ist abzuweisen. Der Antrag auf Gewährung der aufschiebenden Wirkung erweist sich mit der Ausfällung des vorliegenden Urteils als gegenstandslos.</w:t>
      </w:r>
    </w:p>
    <w:p>
      <w:r>
        <w:rPr>
          <w:b/>
        </w:rPr>
        <w:t>E. 7</w:t>
      </w:r>
    </w:p>
    <w:p>
      <w:r>
        <w:t>Entsprechend dem Ausgang des Beschwerdeverfahrens sind die aufgelaufenen Verfahrenskosten grundsätzlich dem Beschwerdeführer aufzuerlegen (Art. 63 Abs. 1 VwVG). Sein mit der Beschwerde gestelltes Gesuch um Gewährung der unentgeltlichen Rechtspflege im Sinne eines Verzichts auf die Auferlegung von Verfahrenskosten und die Bestellung eines Armenanwaltes ist abzuweisen, da die Begehren - wie sich aus den vorstehenden Erwägungen ergibt - als aussichtlos zu bezeichnen waren; damit fehlte es an einer zwingenden gesetzlichen Voraussetzung (Art. 65 Abs. 1 und 2 VwVG). Die demnach dem Beschwerdeführer in Rechnung zu stellenden Verfahrenskosten sind in Anwendung von Art. 1 3 des Reglements vom 21. Februar 2008 über die Kosten und Entschädigungen vor dem Bundesverwaltungsgericht (VGKE, SR 173.320.2) auf Fr. 750.-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