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F-6748/2017 vom 3. August 2018</w:t>
      </w:r>
    </w:p>
    <w:p>
      <w:r>
        <w:t>Bundesverwaltungsgericht, 2018-08-03, FR</w:t>
      </w:r>
    </w:p>
    <w:p>
      <w:r>
        <w:rPr>
          <w:b/>
        </w:rPr>
        <w:t xml:space="preserve">Quelle: </w:t>
      </w:r>
      <w:r>
        <w:t>https://mcp.opencaselaw.ch/entscheid/bvger_F-6748_2017</w:t>
      </w:r>
    </w:p>
    <w:p>
      <w:r>
        <w:t>FR: TAF F-6748/2017 du 3 août 2018</w:t>
      </w:r>
    </w:p>
    <w:p>
      <w:r>
        <w:t>IT: TAF F-6748/2017 del 3 agosto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(art. 33 let. d LTAF) sont susceptibles de recours au Tribunal, qui statue définitivement, sous réserve des cas où l'Accord sur la libre circulation des personnes du 21 juin 1999 (ALCP,RS 0.142.112.681) s'applique, ce qui n'est pas le cas en l'espèce, les recourants étant ressortissants d'un Etat tiers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Conformément à l'art. 5 al. 1 LEtr, tout étranger doit, pour entrer en Suisse, notamment avoir une pièce de légitimation reconnue pour le passage de la frontière et être muni d'un visa si ce dernier est requis(let. a), disposer des moyens financiers nécessaires à son séjour (let. b) et ne représenter aucune menace pour la sécurité et l'ordre publics ni pour les relations internationales de la Suisse (let. c). Cette disposition, relative à l'entrée en Suisse, n'est applicable que dans la mesure où les accords d'association à Schengen ne contiennent pas de dispositions divergentes(art. 2 al. 4 LEtr). Aux termes de l'art. 2 al. 1 de l'ordonnance du 22 octobre 2008 surl'entrée et l'octroi de visas (OEV, RS 142.204), les conditions d'entrée pour un séjour n'excédant pas 90 jours ou à des fins de transit sont régies parl'art. 6 du règlement (UE) 2016/399 du Parlement européen et du Conseil du 9 mars 2016 concernant un code de l'Union relatif au régime defranchissement des frontières par les personnes (code frontières Schengen [version codifiée] ; JO L 77 du 23 mars 2016 p. 1). Par ailleurs, en application de l'art. 7 LEtr, l'entrée en Suisse et la sortie de Suisse sont régies par les accords d'association à Schengen. L'art. 6 par. 1 du code frontières Schengen, dont le contenu coïncide largement avec celui de l'art. 5 al. 1 LEtr précité (cf. à ce propos EGLI/MEYER in : CARONI/GÄCHTER/THURNHERR, Bundesgesetz über die Ausländerinnen und Ausländer, Berne 2010, ad art. 5 LEtr, n°14),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L'art. 6 par. 2 du code frontières Schengen précise notamment que la date d'entrée est considérée comme le premier jour de séjour sur le territoire des États membres et que la date de sortie est considérée comme ledernier jour de séjour sur le territoire des États membres.</w:t>
      </w:r>
    </w:p>
    <w:p>
      <w:r>
        <w:rPr>
          <w:b/>
        </w:rPr>
        <w:t>E. 3.2</w:t>
      </w:r>
    </w:p>
    <w:p>
      <w:r>
        <w:t>Selon l'art. 10 al. 1 LEtr, un étranger peut séjourner en Suisse sans exercer d'activité lucrative pendant trois mois sans autorisation, sauf si la durée fixée dans le visa est plus courte. Pour effectuer un séjour plus long sans activité lucrative, l'étranger doit être titulaire d'une autorisation(art. 10 al. 2 LEtr). L'ordonnance relative à l'admission, au séjour et à l'exercice d'une activité lucrative du 24 octobre 2007 (OASA, RS 142.201) précise, en sonart. 9 al. 1, que les étrangers sans activité lucrative en Suisse ne doivent pas être munis d'une autorisation ni déclarer leur arrivée si leur séjourn'excède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remplies(art. 9 al. 2 OASA). En outre, tout étranger qui entend exercer en Suisse une activité lucrative doit, en vertu de l'art. 11 al. 1 LEtr, être titulaire d'une autorisation, quelle que soit la durée de son séjour.</w:t>
      </w:r>
    </w:p>
    <w:p>
      <w:r>
        <w:rPr>
          <w:b/>
        </w:rPr>
        <w:t>E. 3.3</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exceptionnellement s'abstenir de prononcer une interdiction d'entrée ou la suspendre provisoirement ou définitivement(cf. art. 67 al. 5 LEtr). 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l'ALCP (RS 0.142.112.681), a une portée moindre en présence de ressortissants d'Etat tiers, tels les recourants (cf. ATAF 2017 VII/2 consid. 4.4 et réf. cit.). L'art. 80 OASA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étrangers,FF 2002 3469, 3564 [ci-après : Message LEtr]). Une interdiction d'entrée peut notamment être prononcée lorsque l'étranger a violé les prescriptions du droit des étrangers (cf. Message LEtr,FF 2002 3469, 3568). Selon la jurisprudence constante du Tribunal, le fait d'entrer, de séjourner ou de travailler en Suisse sans autorisation représente une violation grave des prescriptions de police des étrangers(arrêts du TAF F-2581/2016 du 21 février 2018 consid. 5.3, F-2164/2017du 17 novembre 2017 consid. 5.2 et F-6005/2016 du 10 octobre 2017 consid. 4.1). L'autorité compétente examine selon sa libre appréciation si une interdiction d'entrée doit être prononcée. Elle doit donc procéder à une pondération méticuleuse de l'ensemble des intérêts en présence et respecter le principe de la proportionnalité (ATF 139 II 121 consid. 6.5.1 ; ATAF2017 VII/2 consid. 4.5). 4.4.1 Dans un premier temps, il convient d'examiner si le principe d'une interdiction d'entrée en Suisse et au Liechtenstein à l'endroit des recourants se justifie. L'autorité inférieure a prononcé cette mesure pour une durée dedeux ans, soit jusqu'au 19 octobre 2019, au motif que les intéressés séjournaient dans l'Espace Schengen, et en Suisse en particulier, «bien après l'expiration de la durée du séjour non soumis à autorisation (overstay de 288 jours)». Ils avaient ainsi «sérieusement attenté à la sécurité et à l'ordre publics, au sens de l'art. 67 al. 2 let. a LEtr». Dans leur recours daté du 10 novembre 2017, les intéressés ont avancé qu'ils s'étaient rendus en Suisse à l'invitation de Chrétiens du canton de Vaud, dans un but d'accompagnement thérapeutique gratuit dans le domaine de l'abus. Des besoins de guérison grandissants s'étaient manifestés durant leur séjour, qu'ils avaient alors décidé de prolonger. Les recourants ont conclu à une réduction de la durée des mesures prononcées à six mois. 4.2 Conformément à l'art. 1 par. 2 et à l'annexe II du règlement (CE)n° 539/2001 du Conseil du 15 mars 2001 fixant la liste des pays tiers dont les ressortissants sont soumis à l'obligation de visa pour franchir les frontières extérieures des Etats membres et la liste de ceux dont les ressortissants sont exemptés de cette obligation, les ressortissants canadiens sont exemptés de l'obligation de visa pour entrer sur le territoire des États membres pour des séjours dont la durée totale n'excède pas trois mois (voir également l'art. 4 al. 3 OEV). Ceux-ci peuvent donc séjourner dans l'Espace Schengen sans être soumis à l'obligation de visa pendant une durée maximale de trois mois au cours d'une période de six mois à compter de la date de leur première entrée (arrêt du TAF F-1429/2016 du 15 novembre 2016 consid. 6.2). 4.3 Le Tribunal constate, au vu des pièces du dossier, que les recourants sont entrés en Suisse (soit également dans l'Espace Schengen) par l'aéroport de Genève le 22 septembre 2016 et en sont ressortis par le même aéroport le 4 octobre 2017, soit bien au-delà de la période de trois mois durant laquelle ils étaient dispensés, d'une part, de visa selon le règlement(CE) n° 539/2001 précité et, d'autre part, d'autorisation au sens del'art. 10 LEtr. Les faits reprochés aux intéressés par l'autorité inférieure sont établis à satisfaction et n'ont jamais été contestés. Ils portent atteinte à la sécurité et à l'ordre publics au sens de l'art. 80 al. 1 let. a OASA, peu importentà cet égard les raisons de la venue en Suisse des intéressés ou de la poursuite de leur séjour en ce pays. Les recourants se devaient en effet de respecter la législation en vigueur, ce qu'ils n'ont manifestement pas fait (arrêt du TAF F-2164/2017 consid. 7.2), étant rappelé que la méconnaissance ou la mésinterprétation de la réglementation en matière de visa ou de séjour ne constitue par principe pas un motif de renonciation au prononcé d'une mesure d'éloignement (arrêts du TAF F-6487/2016 du31 mai 2017 consid. 5.4 et F-5520/2015 du 19 juillet 2016 consid. 5.1). Les ordonnances de non-entrée en matière rendues à l'endroit des intéressés par le Ministère public genevois en date du 15 décembre 2017ne sauraient remettre en cause cette appréciation. En effet, cette autorité pénale a retenu que les recourants avaient séjourné en Suisse sans autorisation du 21 décembre 2016 au 4 octobre 2017, soit un excédent de288 jours, et que l'infraction de l'art. 115 al. 1 let. b LEtr (séjour illégal en Suisse) était réalisée. Néanmoins, en application de l'art. 52 CP (exemption de peine pour cause d'absence d'intérêt à punir), auquel renvoie l'art. 8 CPP, il a été renoncé à l'ouverture d'une poursuite pénale à leur encontre. Quoi qu'il en soit, ces ordonnances de non-entrée en matière ne lient pas l'autorité administrative ou le Tribunal - qui se fondent sur des critères d'appréciation qui leur sont propres, s'agissant des conséquences déduites des circonstances de la cause (ATF 137 II 233 consid. 5.2.2 ; arrêts du TAFF-2581/2016 consid. 5.4.2 et F-8317/2015 du 23 février 2017 consid. 7.1.3.1). 4.4 Au vu de ce qui précède, le Tribunal juge que les interdictions d'entrée prononcées à l'encontre des recourants sont justifiées dans leurprincipe. 5.Il convient encore d'examiner si la durée des mesures d'éloignement prises par l'autorité inférieure - soit deux ans - est justifiée respectivement si celles-ci satisfont aux principes généraux du droit administratif, en particulier au principe de proportionnalité. 5.1 Lorsque l'autorité administrative prononce une interdiction d'entrée, elle doit en effet respecter les principes susmentionnés et s'interdire tout arbitraire (ATF 139 II 121 consid. 6.5.1 ; ATAF 2017 VII/2 consid. 4.5).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142 I 76 consid. 3.5.1 ; arrêt du TAF F-5267/2015 du 18 août 2016consid. 6.1). En l'occurrence, s'agissant de l'intérêt public à l'éloignement des recourants de Suisse, le Tribunal constate que le motif retenu à l'appui des mesures d'éloignement prises à leur encontre (soit le séjour illégal) ne saurait être raisonnablement contesté. Les interdictions d'entrée prononcées sont des mesures administratives de contrôle qui tendent à tenir les intéressés éloignés de la Suisse (ainsi que de l'Espace Schengen) dès lors qu'ils ont séjourné de manière illégale durant une très longue période sur le sol helvétique. Or, le fait de séjourner en Suisse sans autorisation représente une violation grave des prescriptions de police des étrangers (consid. 3.3 supra). Compte tenu également du nombre élevé de contraventions commises dans le domaine de la police des étrangers, les autorités sont contraintes d'intervenir avec sévérité afin d'assurer la stricte application des prescriptions édictées en la matière. Il en va de l'intérêt public de l'Etat à voir respectés l'ordre établi et la législation en vigueur (arrêts du TAF F-6005/2016 consid. 5.2 et F-3242/2016 du 9 août 2017 consid. 5.4). Au vu de ce qui précède, l'intérêt public à l'éloignement des recourants doit être qualifié d'important. Les recourants n'ont par ailleurs pas fait valoir d'autre intérêt personnel s'opposant au prononcé des mesures contestées que celui de prodiguer de l'aide et un accompagnement thérapeutique au sein d'assemblées chrétiennes en Suisse. Or, pour louables qu'elles puissent être et quand bien même elles s'inscriraient dans l'exercice de la liberté de conscience et de croyance (art. 15 Cst.) des intéressés ou des fidèles de leur congrégation, ces actions ne sauraient justifier une violation, qui plus est par le biais d'un dépassement de séjour aussi massif, par les recourants, de la législation en vigueur. Ceci est d'autant plus vrai qu'il leur eût été loisible, en tant que leur présence en Suisse eût été nécessitée pour une plus longue période de temps, de solliciter une autorisation auprès des autorités dans cette perspective. Pour ces motifs, les intérêts des recourants, voire, selon les cas, de leurs «patients» ou fidèles, doivent ici céder le pas à l'intérêt public au respect du droit suisse des étrangers. 5.2 Partant, les mesures d'éloignement prises par l'autorité inférieurele 20 octobre 2017 sont conformes au principe de la proportionnalité. En outre, la durée des mesures respecte également ce principe et correspond à celles prononcées dans des cas analogues (arrêts du TAF F-5619/2017 du 16 mai 2018 et C-6655/2015 du 30 juin 2016). Enfin, le Tribunal ne perçoit pas de raisons humanitaires ou d'autres motifs importants justifiant l'abstention ou la suspension des mesures d'éloignement au sens de l'art. 67 al. 5 LEtr. Dans ces conditions, la question - soulevée par l'autorité inférieure dans ses observations du 13 mars 2018 - de savoir si les services rendus en Suisse par les recourants pourraient même être assimilés à une activité lucrative, exercée sans autorisation (art. 11 al. 2 LEtr), souffre de demeurer indécise. 6.Le SEM a par ailleurs ordonné l'inscription des interdictions d'entrée dans le SIS. En raison de ce signalement, il est interdit aux recourant de pénétrer dans l'Espace Schengen. 6.1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6.2 Ces signalements au SIS sont justifiés par les faits retenus et satisfont au principe de la proportionnalité, au vu des circonstances du cas d'espèce (cf. art. 21 en relation avec l'art. 24 al. 2 du règlement SIS II). Ils le sont d'autant plus que la Suisse, dans le champ d'application des règles de Schengen, se doit de préserver les intérêts de tous les Etats parties aux accords d'association à Schengen (ATAF 2011/48 consid. 6.1). 7.Au vu de ce qui précède, le Tribunal considère que l'autorité inférieure, en rendant ses décisions du 20 octobre 2017, n'a ni violé le droit fédéral, ni constaté des faits pertinents de manière inexacte ou incomplète ; en outre, ces décisions ne sont pas inopportunes (art. 49 PA). En conséquence,le recours est rejeté. 8.Vu l'issue du litige, il y a lieu de mettre les frais de la procédure à la charge des recourants, conformément à l'art. 63 al. 1 PA en relation avec lesart.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