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F-6741/2023 vom 12. Dezember 2023</w:t>
      </w:r>
    </w:p>
    <w:p>
      <w:r>
        <w:t>Bundesverwaltungsgericht, 2023-12-12, DE</w:t>
      </w:r>
    </w:p>
    <w:p>
      <w:r>
        <w:rPr>
          <w:b/>
        </w:rPr>
        <w:t xml:space="preserve">Quelle: </w:t>
      </w:r>
      <w:r>
        <w:t>https://mcp.opencaselaw.ch/entscheid/bvger_F-6741_2023</w:t>
      </w:r>
    </w:p>
    <w:p>
      <w:r>
        <w:t>FR: TAF F-6741/2023 du 12 décembre 2023</w:t>
      </w:r>
    </w:p>
    <w:p>
      <w:r>
        <w:t>IT: TAF F-6741/2023 del 12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(Art. 83 Bst. d Ziff. 1 BGG). Der Beschwerdeführer ist zur Beschwerdeerhebung legitimiert (Art. 48 Abs. 1 VwVG). Auf die frist- und formgerecht eingereichte Beschwerde ist - unter Vorbehalt des Nachfolgenden (s. E. 2.3 hiernach) -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m.w.H.). Die Frage der Feststellung des Vorliegens einer Niederlassungsbewilligung bildet demgegenüber nicht Gegenstand der angefochtenen Verfügung und damit auch nicht des vorliegenden Verfahrens, weshalb sich Weiterungen hierzu erübrigen und auf den entsprechenden Antrag nicht einzutreten ist.</w:t>
      </w:r>
    </w:p>
    <w:p>
      <w:r>
        <w:rPr>
          <w:b/>
        </w:rPr>
        <w:t>E. 2.4</w:t>
      </w:r>
    </w:p>
    <w:p>
      <w:r>
        <w:t>Dementsprechend besteht auch für die in diesem Zusammenhang beantragte Ansetzung einer Nachfrist zur Beschwerdeergänzung im Sinne von Art. 53 VwVG kein Anlass, zumal die vorliegende Streitsache weder einen aussergewöhnlichen Umfang noch besondere tatsächliche oder rechtliche Schwierigkeiten aufweist.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3.3</w:t>
      </w:r>
    </w:p>
    <w:p>
      <w:r>
        <w:t>Nachdem die kroatischen Behörden am 22. August 2023 dem Wiederaufnahmeersuchen der Vorinstanz gestützt auf Art. 20 Abs. 5 Dublin-III-VO zugestimmt haben, ist die grundsätzliche Zuständigkeit Kroatiens zur Durchführung des Asyl- und Wegweisungsverfahrens des Beschwerdeführers vorliegend klar gegeben.</w:t>
      </w:r>
    </w:p>
    <w:p>
      <w:r>
        <w:rPr>
          <w:b/>
        </w:rPr>
        <w:t>E. 4</w:t>
      </w:r>
    </w:p>
    <w:p>
      <w:r>
        <w:t>Das Bundesverwaltungsgericht geht derzeit auch unter Berücksichtigung kritischer Berichte nationaler und internationaler Organisationen nicht davon aus, das Asylverfahren und die Aufnahmebedingungen in Kroatien wiesen systemische Schwachstellen im Sinne von Art. 3 Abs. 2 Sätze 2 und 3 Dublin-III-VO auf (vgl. Referenzurteil des BVGer E-1488/2020 vom 22. März 2023 E. 9). Die vom Beschwerdeführer anlässlich seiner illegalen Einreise nach Kroatien konkret geltend gemachten Vorkommnisse (Festhaltung auf Polizeistation und zwangsweise Abnahme seiner Fingerabdrücke) sind nicht geeignet, die geltende Annahme zu widerlegen, wonach Kroatien seinen völkerrechtlichen Verpflichtungen im Rahmen eines Asylverfahrens nachkommt (s. a.a.O. E. 8 und E. 9.5). Vielmehr erfolgt die Abnahme der Fingerabdrücke von illegal einreisenden Ausländerinnen und Ausländern gestützt auf Art. 9 Abs. 1 und Art. 14 Abs. 1 der Verordnung (EU) Nr. 603/2013 des Europäischen Parlaments und des Rates vom 26. Juni 2013 (Eurodac-Verordnung) grundsätzlich rechtmässig (vgl. statt vieler Urteil F-4364/2023 vom 24. August 2023 E. 5.5).</w:t>
      </w:r>
    </w:p>
    <w:p>
      <w:r>
        <w:rPr>
          <w:b/>
        </w:rPr>
        <w:t>E. 5</w:t>
      </w:r>
    </w:p>
    <w:p>
      <w:r>
        <w:t>Der Beschwerdeführer beantragt die Anwendung der Ermessensklausel von Art. 17 Abs. 1 Dublin-III-VO respektive der - das Selbsteintrittsrecht im Landesrecht konkretisierenden - Bestimmung von Art. 29a Abs. 3 der Asylverordnung 1 vom 11. August 1999 (AsylV 1, SR 142.311). Er beruft sich dazu auf den Umstand, dass er bereits früher in der Schweiz gelebt, hier eine Ausbildung absolviert und gearbeitet habe sowie Deutsch spreche. Die Vorinstanz habe vor diesem Hintergrund ihren Ermessensspielraum nicht rechtskonform genutzt.</w:t>
      </w:r>
    </w:p>
    <w:p>
      <w:r>
        <w:rPr>
          <w:b/>
        </w:rPr>
        <w:t>E. 5.1</w:t>
      </w:r>
    </w:p>
    <w:p>
      <w:r>
        <w:t>Was den Selbsteintritt aus humanitären Gründen angeht, ist festzuhalten, dass Art. 29a Abs. 3 AsylV 1 der Vorinstanz einen Ermessensspielraum zugesteht.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die Vorinstanz den Sachverhalt korrekt und vollständig erhoben, allen wesentlichen Umständen Rechnung getragen und ihren Ermessensspielraum genutzt hat (Art. 106 Abs. 1 Bst. a und b AsylG; vgl. BVGE 2015/9 E. 7 und 8).</w:t>
      </w:r>
    </w:p>
    <w:p>
      <w:r>
        <w:rPr>
          <w:b/>
        </w:rPr>
        <w:t>E. 5.2</w:t>
      </w:r>
    </w:p>
    <w:p>
      <w:r>
        <w:t>Die angefochtene Verfügung ist unter dem Blickwinkel der Angemessenheit nicht zu beanstanden, denn die Vorinstanz legte darin dar, aus welchen Gründen sie auf einen Selbsteintritt aus humanitären Gründen verzichtete: So sei das dem Beschwerdeführer in der Schweiz 1999 gewährte Asyl am 13. Februar 2007 widerrufen und ihm die Flüchtlingseigenschaft aberkannt worden, nachdem die Behörden erfahren hatten, dass er mit einem tunesischen Pass mehrmals nach Tunesien gereist war. Darüber hinaus sei seine Niederlassungsbewilligung in der Schweiz nach seiner Ausreise nach Tunesien im Jahr 2015 erloschen, weshalb kein Selbsteintritt eingeleitet werde (s. angefochtene Verfügung S. 9). Damit hat die Vorin-stanz ihr Ermessen gesetzeskonform ausgeübt; eine Ermessensunterschreitung liegt nicht vor (s. E. 5.1 hiervor).</w:t>
      </w:r>
    </w:p>
    <w:p>
      <w:r>
        <w:rPr>
          <w:b/>
        </w:rPr>
        <w:t>E. 5.3</w:t>
      </w:r>
    </w:p>
    <w:p>
      <w:r>
        <w:t>Soweit der Beschwerdeführer in diesem Zusammenhang um Durchführung einer mündlichen Verhandlung, respektive um eine Anhörung ersucht, ist der entsprechende Antrag abzuweisen. Weder besteht im vorliegenden Verfahren ein Anspruch darauf noch erscheint dies zur weiteren Sachverhaltsabklärung als erforderlich (Art. 57 Abs. 2 VwVG; Art. 40 VGG; Art. 6 Ziff. 1 EMRK; vgl. BGE 136 I 229 E. 5.3; Urteil des BVGer F-556/2022 vom 10. Februar 2022 E. 3.3; Julian Beriger, in: Bernhard Waldmann/Patrick L. Krauskopf [Hrsg.], Praxiskommentar Verwaltungsverfahrensgesetz, 3. Aufl. 2023, Art. 57 N. 48 ff.).</w:t>
      </w:r>
    </w:p>
    <w:p>
      <w:r>
        <w:rPr>
          <w:b/>
        </w:rPr>
        <w:t>E. 5.4</w:t>
      </w:r>
    </w:p>
    <w:p>
      <w:r>
        <w:t>Nach dem Gesagten besteht kein Grund für eine Anwendung der Ermessensklausel von Art. 17 Dublin-III-VO. Mithin besteht auch kein Anlass für die Einholung individueller Zusicherungen bezüglich des Zugangs zu regelmässiger und adäquater medizinischer und psychologischer Behandlung sowie Unterbringung und Nahrung in Kroatien, weshalb der entsprechende Subeventualantrag abzuweisen ist. Der Vollständigkeit halber ist festzuhalten, dass die Dublin-III-VO dem Beschwerdeführer kein Wahlrecht hinsichtlich des Mitgliedstaates gewährt, der seinen Antrag prüfen soll (vgl. BVGE 2010/45 E. 8.3).</w:t>
      </w:r>
    </w:p>
    <w:p>
      <w:r>
        <w:rPr>
          <w:b/>
        </w:rPr>
        <w:t>E. 6</w:t>
      </w:r>
    </w:p>
    <w:p>
      <w:r>
        <w:t>Nach dem Gesagten ist die Vorinstanz zu Recht auf das Asylgesuch des Beschwerdeführers nicht eingetreten und hat seine Wegweisung nach Kroatien angeordnet. Die Beschwerde ist abzuweisen, soweit darauf einzutreten ist. Eine Rückweisung der Sache an die Vorinstanz ist nicht angezeigt. Mit vorliegendem Urteil fällt der am 7. Dezember 2023 angeordnete Vollzugsstopp dahin und das Gesuch um Erteilung der aufschiebenden Wirkung der Beschwerde ist gegenstandslos geworden.</w:t>
      </w:r>
    </w:p>
    <w:p>
      <w:r>
        <w:rPr>
          <w:b/>
        </w:rPr>
        <w:t>E. 7</w:t>
      </w:r>
    </w:p>
    <w:p>
      <w:r>
        <w:t>Das Gesuch um Gewährung der unentgeltlichen Rechtspflege ist abzuweisen, da die Begehren - wie sich aus den vorstehenden Erwägungen ergibt - als offensichtlich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