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F-6735/2023 vom 7. Dezember 2023</w:t>
      </w:r>
    </w:p>
    <w:p>
      <w:r>
        <w:t>Bundesverwaltungsgericht, 2023-12-07, FR</w:t>
      </w:r>
    </w:p>
    <w:p>
      <w:r>
        <w:rPr>
          <w:b/>
        </w:rPr>
        <w:t xml:space="preserve">Quelle: </w:t>
      </w:r>
      <w:r>
        <w:t>https://mcp.opencaselaw.ch/entscheid/bvger_F-6735_2023</w:t>
      </w:r>
    </w:p>
    <w:p>
      <w:r>
        <w:t>FR: TAF F-6735/2023 du 7 décembre 2023</w:t>
      </w:r>
    </w:p>
    <w:p>
      <w:r>
        <w:t>IT: TAF F-6735/2023 del 7 dicembre 2023</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Malgré l'absence de résiliation du mandat du représentant légal au dossier conformément à l'art. 102h al. 4 LAsi, il est possible de déduire que ledit mandat a implicitement été résilié ou répudié puisque l'intéressé a agi seul pour rédiger son recours (cf., entre autres, arrêts du TAF F-3878/2022 du 31 octobre 2022 consid. 1.3 et F-3263/2022 du 3 août 2022, p. 3).</w:t>
      </w:r>
    </w:p>
    <w:p>
      <w:r>
        <w:rPr>
          <w:b/>
        </w:rPr>
        <w:t>E. 1.4</w:t>
      </w:r>
    </w:p>
    <w:p>
      <w:r>
        <w:t>Bien que le recours n'arbore pas la signature manuscrite de l'intéressé (art. 52 al. 1 PA), il sera renoncé, exceptionnellement et pour des motifs d'économie de procédure, à en exiger la régularisation (cf. arrêt du TAF F-5646/2018 du 1er novembre 2018 consid. 1.4 non publié in ATAF 2018 VII/5). Présenté dans la forme - acceptée par le Tribunal (art. 52 al. 1 PA) - et le délai (art. 108 al. 3 LAsi) prescrits par la loi, le recours doit être considéré comme recevable.</w:t>
      </w:r>
    </w:p>
    <w:p>
      <w:r>
        <w:rPr>
          <w:b/>
        </w:rPr>
        <w:t>E. 1.5</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3.3.1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3.4 Dans une procédure de reprise en charge (anglais : take back), comme en l'espèce, il n'y a en principe aucun nouvel examen de la compétence selon le chapitre III du règlement Dublin III (cf. ATAF 2019 VI/7 consid. 6.4.1.1). 3.5 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3.6 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notamment, arrêts du TAF F-4485/2022 du 24 août 2023 consid. 4.3, F-5584/2022 du 9 décembre 2022 consid. 3.6 et F-4447/2022 du 11 octobre 2022 consid. 4.5). 3.7 En l'espèce, les investigations entreprises par le SEM, à travers la consultation de l'unité centrale du système européen « Eurodac », ont révélé que l'intéressé avait déposé une demande de protection internationale en Croatie en date du 20 octobre 2023. Fondé sur ce qui précède, le SEM a soumis aux autorités croates compétentes, le 3 novembre 2023 (soit dans le délai fixé à l'art. 23 par. 2 du règlement Dublin III), une requête aux fins de reprise en charge de l'intéressé, fondée sur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17 novembre 2023 (soit dans le respect du délai de l'art. 25 par. 1 du règlement Dublin III), la Croatie a expressément accepté de reprendre en charge l'intéressé, mais sur la base de l'art. 20 par. 5 RD III, afin de poursuivre la procédure de détermination de l'Etat Dublin compétent. 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cf. arrêt du TAFF-5584/2022 du 9 décembre 2022 consid. 3.7). 4.4.1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4.2 Il convient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UE. 4.2.1 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 à ce titre, la Croatie en applique les dispositions. 4.2.2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 cf. arrêt du TAF F-4440/2023 du 23 août 2023 consid. 4.3.2).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4.2.4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arrêts du TAF F-4020/2023 du 27 juillet 2023 consid. 5.5,F-1875/2023 du 13 avril 2023 consid. 5.4 et 5.5 et F-5661/2022 du 6 avril 2023 consid. 5.1 et 5.2).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 (cf. ATAF 2017 VI/5 consid. 8.4). Cela étant, cette présomption peut être renversée dans un cas concret, ce qu'examinera le Tribunal aux considérants suivants. 5.Le recourant s'est opposé à son transfert vers la Croatie en mettant en avant qu'il serait refoulé vers la Turquie, pays dans lequel il serait en danger. Il a également indiqué que les policiers croates l'avaient maltraité. Durant son entretien Dublin du 2 novembre 2023, il a souligné qu'il ne voulait pas déposer de demande d'asile en Croatie et que ses empreintes digitales y avaient été relevées sans qu'on lui demande son avis. Il a en outre fait état de maux de tête et d'une sinusite. Il ressort également du dossier qu'une tante, deux cousins (tous trois requérants d'asile) et vraisemblablement un oncle de l'intéressé (requérant d'asile débouté) résident en Suisse. 5.1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 cf., parmi d'autres, ATAF 2017 VI/7 consid. 4.3 et 2017 VI/5 consid. 8.5.2). 5.2 Il convient tout d'abord de rappeler que le règlement Dublin III ne confère pas aux demandeurs d'asile le droit de choisir l'Etat membre offrant, à leur avis, les meilleures conditions d'accueil comme Etat responsable de l'examen de leur demande d'asile (cf. ATAF 2010/45 consid. 8.3). 5.2.1 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 contre Belgique [Grande chambre] du 13 décembre 2016, requête no 41738/10 ; ATAF 2017 VI/7 consid. 6.2). En l'espèce, aucun rapport médical n'a été déposé au dossier et il n'apparaît pas que l'intéressé aurait consulté l'infirmerie du centre dans lequel il est hébergé. Dans son recours, il n'a d'ailleurs plus évoqué ses problèmes de santé. Quoi qu'il en soit, il pourrait être pris en charge médicalement en Croatie (cf., sur ce point, arrêt du TAF F-3878/2022 du 31 octobre 2022 consid. 5.3.2). 5.2.2 Le transfert du recourant vers la Croatie n'est, en outre, pas susceptible de porter atteinte à l'art. 8 CEDH, disposition qui protège la vie familiale. En effet, il ne ressort pas du dossier de la cause - et l'intéressé ne l'invoque d'ailleurs pas lui-même - qu'un lien de dépendance particulier (cf. ATF 139 II 393 consid. 5.1) l'unirait aux membres de sa famille non-nucléaire présents en Suisse (au surplus, s'agissant de la portée, dans le cadre d'une procédure de reprise en charge, de l'art. 16 par. 1 du règlement Dublin III [dont les conditions d'application peuvent être rapprochées de celles de la protection de la vie familiale garantie par l'art. 8 CEDH], cf. ATAF 2019 VI/7 consid. 6.4.1.2 et arrêt du TAF F-4485/2022 du 24 août 2023 consid. 6.2.3). C'est ici le lieu de rappeler que les cousins et oncles/tantes ne sont pas des « membres de la famille » au sens du règlement Dublin III, et en particulier de son art. 10 (cf. art. 2 let. g RD III). 5.2.3 Dans ces conditions, il ne peut être reproché à l'autorité inférieure de ne pas avoir fait application de la clause de souveraineté ancrée à l'art. 17 par. 1 du règlement Dublin III. 5.3 De manière plus générale, rien n'indique que les autorités croates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 S'agissant des craintes exprimées par l'intéressé en lien avec un risque de refoulement vers la Turquie, le Tribunal rappelle que la procédure fondée sur le règlement Dublin III se limite, en principe, à la détermination de l'Etat membre compétent pour l'examen de la demande d'asile ; il reviendra à la Croatie - respectivement à l'Etat Dublin responsable de l'examen de la demande de protection internationale du recourant - d'apprécier les motifs d'asile invoqués, et il n'existe en particulier aucune raison sérieuse de croire que les autorités croates ne procéderaient pas, cas échéant, à un examen du caractère exécutable ou non du renvoi de l'intéressé (voir, notamment, arrêt du TAF F-4440/2023 du 23 août 2023 consid. 5.5). 5.4 Les allégués de l'intéressé en lien avec le dépôt d'une demande d'asile contre sa volonté en Croatie démontrent qu'il a pu avoir accès à une procédure d'asile dans ce pays (au surplus, sur le caractère non-pertinent [en l'absence de preuve en ce sens] du dépôt « forcé » d'une demande d'asile dans un Etat Dublin, en lien avec le prélèvement d'empreintes digitales, cf. notamment arrêts du TAF F-1103/2022 du 23 mars 2022 consid. 6.3.4 et E-1195/2021 du 30 mars 2021 consid. 4.6.1). En outre, rien ne permet de considérer que les autorités croates (qui ont expressément accepté de reprendre en charge le recourant) refuseraient de mener à terme la procédure de détermination de l'Etat Dublin compétent. 5.5 L'intéressé n'a, par ailleurs, pas apporté d'indices qu'il serait privé durablement, en Croatie, de tout accès aux conditions matérielles d'accueil et qu'il ne pourrait pas bénéficier de l'aide nécessaire pour faire valoir ses droits. A cet égard, les allégations de mauvais traitements de la part de la police croate ne sont nullement étayées. Cela étant,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 cas échéant avec l'aide d'un mandataire ou des organisations caritatives oeuvrant sur place - en usant des voies de droit adéquates (voir arrêts du TAF F-4440/2023 du 23 août 2023 consid. 4.4 et D-1617/2023 du 30 mars 2023 consid. 8.4.4 et 8.5). 5.6 Ainsi, le recourant n'a pas renversé la présomption selon laquelle la Croatie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6.Par conséquent, le transfert de l'intéressé vers la Croatie n'est pas contraire aux obligations découlant de dispositions conventionnelles auxquelles la Suisse est liée, ni au droit national.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1let. b LAsi, et a prononcé son transfert de Suisse vers la Croatie, en application de l'art. 44 LAsi, aucune exception à la règle générale du renvoi n'étant réalisée (art. 32 OA 1). 7.Au vu de ce qui précède, le recours doit être rejeté. S'avérant manifestement infondé, il est rejeté dans une procédure à juge unique, avec l'approbation d'un second juge (cf. art. 111 let. e LAsi). Il est dès lors renoncé à un échange d'écritures et le présent arrêt n'est motivé que sommairement (cf. art. 111a al. 1 et 2 LAsi). Les mesures superprovisionnelles prononcées le 6 décembre 2023 sont désormais caduques. Dans la mesure où il a été immédiatement statué sur le fond, les requêtes en octroi de l'effet suspensif et en exemption du paiement d'une avance de frais sont sans objet. Les conclusions du recours étant d'emblée vouées à l'échec, la requête d'assistance judiciaire totale (recte : partielle) est rejetée. 8.Vu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