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F-6727/2023 vom 12. Dezember 2023</w:t>
      </w:r>
    </w:p>
    <w:p>
      <w:r>
        <w:t>Bundesverwaltungsgericht, 2023-12-12, DE</w:t>
      </w:r>
    </w:p>
    <w:p>
      <w:r>
        <w:rPr>
          <w:b/>
        </w:rPr>
        <w:t xml:space="preserve">Quelle: </w:t>
      </w:r>
      <w:r>
        <w:t>https://mcp.opencaselaw.ch/entscheid/bvger_F-6727_2023</w:t>
      </w:r>
    </w:p>
    <w:p>
      <w:r>
        <w:t>FR: TAF F-6727/2023 du 12 décembre 2023</w:t>
      </w:r>
    </w:p>
    <w:p>
      <w:r>
        <w:t>IT: TAF F-6727/2023 del 12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3.3</w:t>
      </w:r>
    </w:p>
    <w:p>
      <w:r>
        <w:t>Der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Maßgabe der Artikel 23, 24, 25 und 29 wieder aufzunehmen (Art. 18 Abs. 1 Bst. d Dublin-III-VO).</w:t>
      </w:r>
    </w:p>
    <w:p>
      <w:r>
        <w:rPr>
          <w:b/>
        </w:rPr>
        <w:t>E. 3.4</w:t>
      </w:r>
    </w:p>
    <w:p>
      <w:r>
        <w:t>Nachdem die österreichischen Behörden innert der in Art. 25 Abs. 1 Dublin-III-VO festgelegten Frist dem Wiederaufnahmegesuch der Vorinstanz zugestimmt haben, ist die Zuständigkeit Österreichs grundsätzlich gegeben.</w:t>
      </w:r>
    </w:p>
    <w:p>
      <w:r>
        <w:rPr>
          <w:b/>
        </w:rPr>
        <w:t>E. 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Nachfolgend ist zu prüfen, ob die Vorinstanz das Selbsteintrittsrecht nach Art. 17 Abs. 1 erster Satz Dublin-III-VO sowie Art. 29a Abs. 3 AsylV 1 zu Recht nicht ausgeübt hat.</w:t>
      </w:r>
    </w:p>
    <w:p>
      <w:r>
        <w:rPr>
          <w:b/>
        </w:rPr>
        <w:t>E. 4.2</w:t>
      </w:r>
    </w:p>
    <w:p>
      <w:r>
        <w:t>Der Beschwerdeführer macht geltend, er sei in Österreich Rassismus ausgesetzt gewesen und habe dort kein Asyl erhalten. 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Der Beschwerdeführer bringt nichts vor, was auf eine drohende Verletzung der genannten Garantien deuten würde. Es liegen keine Hinweise dafür vor, dass die Behandlung des Asylgesuchs des Beschwerdeführers in Österreich mangelhaft gewesen sein könnte und seine Wegweisung - sollte sie bereits verfügt worden sein - in Verletzung des Non-Refoulement-Prinzips verfügt worden wäre. In diesem Zusammenhang ist darauf hinzuweisen, dass ein allfälliger definitiver Entscheid über ein Asylgesuch und die Wegweisung ins Heimatland nicht eo ipso eine Verletzung des Non-Refoulement-Prinzips darstellen (siehe Urteil des BVGer E-1234/2022 vom 23. März 2022 E. 6.2).</w:t>
      </w:r>
    </w:p>
    <w:p>
      <w:r>
        <w:rPr>
          <w:b/>
        </w:rPr>
        <w:t>E. 4.3</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4.4</w:t>
      </w:r>
    </w:p>
    <w:p>
      <w:r>
        <w:t>Vor diesem Hintergrund sind auch die - nicht begründeten - Eventualanträge, die Sache sei zur vollständigen Erstellung des Sachverhalts an die Vorinstanz zurückzuweisen und die Vorinstanz sei anzuweisen, von den zuständigen Behörden individuelle Zusicherungen bezüglich des Zugangs zum Asylverfahren, adäquater medizinischer Versorgung und Unterbringung einzuholen, abzuweisen.</w:t>
      </w:r>
    </w:p>
    <w:p>
      <w:r>
        <w:rPr>
          <w:b/>
        </w:rPr>
        <w:t>E. 5</w:t>
      </w:r>
    </w:p>
    <w:p>
      <w:r>
        <w:t>Die Vorinstanz ist demnach zu Recht auf das Asylgesuch des Beschwerdeführers nicht eingetreten und hat die Wegweisung nach Österreich angeordnet.</w:t>
      </w:r>
    </w:p>
    <w:p>
      <w:r>
        <w:rPr>
          <w:b/>
        </w:rPr>
        <w:t>E. 6</w:t>
      </w:r>
    </w:p>
    <w:p>
      <w:r>
        <w:t>Nach dem Gesagten ist die Beschwerde abzuweisen. Mit dem vorliegenden Urteil fällt der am 6. Dezember 2023 angeordnete superprovisorische Vollzugsstopp dahin.</w:t>
      </w:r>
    </w:p>
    <w:p>
      <w:r>
        <w:rPr>
          <w:b/>
        </w:rPr>
        <w:t>E. 7.1</w:t>
      </w:r>
    </w:p>
    <w:p>
      <w:r>
        <w:t>Die Begehren erweisen sich als aussichtslos, weshalb das Gesuch um unentgeltliche Rechtspflege abzuweisen 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r>
        <w:rPr>
          <w:b/>
        </w:rPr>
        <w:t>E. 8</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