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F-6726/2017 vom 17. Oktober 2019</w:t>
      </w:r>
    </w:p>
    <w:p>
      <w:r>
        <w:t>Bundesverwaltungsgericht, 2019-10-17, FR</w:t>
      </w:r>
    </w:p>
    <w:p>
      <w:r>
        <w:rPr>
          <w:b/>
        </w:rPr>
        <w:t xml:space="preserve">Quelle: </w:t>
      </w:r>
      <w:r>
        <w:t>https://mcp.opencaselaw.ch/entscheid/bvger_F-6726_2017</w:t>
      </w:r>
    </w:p>
    <w:p>
      <w:r>
        <w:t>FR: TAF F-6726/2017 du 17 octobre 2019</w:t>
      </w:r>
    </w:p>
    <w:p>
      <w:r>
        <w:t>IT: TAF F-6726/2017 del 17 ottobre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18 juillet 2016 de prolonger l'autorisation de séjour des intéressés et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5.1</w:t>
      </w:r>
    </w:p>
    <w:p>
      <w:r>
        <w:t>Selon l'art. 42 al. 1 LEtr, le conjoint étranger d'un ressortissant suisse a droit à l'octroi d'une autorisation de séjour et à la prolongation de sa durée de validité à condition de vivre en ménage commun avec lui.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5.2</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Par ailleurs, dans un arrêt publié aux ATF 140 II 345, le Tribunal fédéral a admis que les périodes de ménage commun des époux en Suisse peuvent s'additionner même lorsqu'elles ont été interrompues par plusieurs périodes d'éloignement non justifiées au regard de l'art. 49 LEtr (consid. 4.5.2).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cf. aussi ATF 140 II 289 consid. 3.5.1 ;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du TF 2C_602/2013 consid. 2.2, 2C_231/2011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w:t>
      </w:r>
    </w:p>
    <w:p>
      <w:r>
        <w:rPr>
          <w:b/>
        </w:rPr>
        <w:t>E. 5.3</w:t>
      </w:r>
    </w:p>
    <w:p>
      <w:r>
        <w:t>Dans sa décision, le SEM s'est basé sur l'avis de départ de la Commune de Z._______ du 22 avril 2016, indiquant que le recourant avait quitté le domicile conjugal le 15 novembre 2015, ainsi que sur les déclarations de l'épouse pour retenir que la vie conjugale avait duré moins de trois ans. L'intéressé a, pour sa part, admis que le couple s'était séparé une première fois en novembre 2015 mais a indiqué que la vie commune avait été reprise au courant du premier semestre 2016 et ce jusqu'à la rupture de l'union conjugale le 1er février 2017.</w:t>
      </w:r>
    </w:p>
    <w:p>
      <w:r>
        <w:rPr>
          <w:b/>
        </w:rPr>
        <w:t>E. 5.4</w:t>
      </w:r>
    </w:p>
    <w:p>
      <w:r>
        <w:t>Dans le cas d'espèce, le délai des trois ans a commencé à courir dès le début de la vie commune en Suisse des époux, soit le 5 octobre 2013. Il n'est pas contesté que le recourant a quitté le domicile conjugal au 15 novembre 2015, soit après un peu plus de deux ans et un mois. Reste litigieuse la question de savoir si le couple a repris la vie commune et jusqu'à quelle date. L'épouse de l'intéressé a déclaré que ce dernier s'était effectivement rétabli au domicile conjugal durant l'été 2016 mais qu'en juillet de cette même année, la situation était « davantage conflictuelle et intenable » et qu'elle avait pris contact avec son avocat (cf. courrier du 15 mars 2017, dossier Symic p. 147). Elle a également indiqué qu'elle souhaitait entamer une procédure de divorce et qu'elle avait ainsi déposé une requête de mesures protectrices de l'union conjugale (cf. courrier du 15 mars 2017, dossier Symic p. 147). Selon les pièces au dossier, il apparaît que la requête de mesures protectrices de l'union conjugale a été déposée le 22 septembre 2016 (cf. procès-verbal d'audience du 8 décembre 2016, dossier Symic p. 348). Ainsi, il sied de retenir que la volonté matrimoniale commune de la part des époux faisait défaut, au plus tard, dès le mois de septembre 2016, malgré leur cohabitation jusqu'au 31 janvier 2017 (cf. arrêt du TAF F-1216/2016 du 26 juin 2017 consid. 6.2.3). Au vu de ces éléments, l'union conjugale a duré, dans le cas le plus favorable, deux ans et cinq mois, soit d'octobre 2013 à novembre 2015 et de juin à septembre 2016, donc moins de trois ans. L'art. 50 al. 1 let. a LEtr ne saurait partant trouver application dans le cas d'espèce.</w:t>
      </w:r>
    </w:p>
    <w:p>
      <w:r>
        <w:rPr>
          <w:b/>
        </w:rPr>
        <w:t>E. 6</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TF 2C_204/2014 du 5 mai 2014 consid. 7.1 in fine et les références citées).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6.2</w:t>
      </w:r>
    </w:p>
    <w:p>
      <w:r>
        <w:t>Il convient également de tenir compte du droit au respect de la vie privée et familiale, garanti par l'art. 8 CEDH, dont le recourant se prévaut expressément. Une raison personnelle majeure peut en effet en particulier découler d'une relation digne de protection avec un enfant qui a le droit de séjourner en Suisse (cf. notamment ATF 143 I 21 consid. 4.1 et 139 I 315 consid. 2.1).</w:t>
      </w:r>
    </w:p>
    <w:p>
      <w:r>
        <w:rPr>
          <w:b/>
        </w:rPr>
        <w:t>E. 6.2.1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6.2.2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l'arrêt du TF 2C_950/2017 du 16 mai 2018 consid. 3.2, ainsi que la jurisprudence citée).</w:t>
      </w:r>
    </w:p>
    <w:p>
      <w:r>
        <w:rPr>
          <w:b/>
        </w:rPr>
        <w:t>E. 6.2.3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Tribunal fédéral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quasi-garde alternée confirmant, sous l'angle des prestations en nature, l'existence de liens économiques étroits. 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6.3</w:t>
      </w:r>
    </w:p>
    <w:p>
      <w:r>
        <w:t>Dans l'examen de la proportionnalité d'une mesure prise à l'encontre de l'un de ses parents (art. 8 par. 2 CEDH et art. 96 al. 1 LEtr), il convient de tenir compte de l'intérêt fondamental de l'enfant à pouvoir grandir en jouissant d'un contact étroit avec ses deux parents (art. 3 et 9 de la Convention du 20 novembre 1989 relative aux droits de l'enfant [CDE; RS 0.107]), étant précisé que, sous l'angle du droit des étrangers, l'art. 3 CDE ne saurait fonder une prétention directe à l'octroi ou au maintien d'une autorisation (ATF 144 I 91 consid. 5.2, 143 I 21 consid. 5.5.1 et 140 I 145 consid. 3.2 ; arrêts du TAF F-4155/2016 consid. 8.3 et F-52/2016 consid. 7.2.1). Depuis quelques années, cet 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 63 ss et El Ghatet c. Suisse du 8 novembre 2016, req. 56971/10, § 46 ; ATF 143 I 21 consid. 5.5.4).</w:t>
      </w:r>
    </w:p>
    <w:p>
      <w:r>
        <w:rPr>
          <w:b/>
        </w:rPr>
        <w:t>E. 6.4</w:t>
      </w:r>
    </w:p>
    <w:p>
      <w:r>
        <w:t>Le Tribunal fédéral a en outre récemment jugé que le droit au respect de la vie privée (art. 8 par. 1 CEDH)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(ATF 144 I 266 consid. 3.9; voir également arrêt du TF 2C_436/2018 du 8 novembre 2018 consid. 2.2 et 2.3).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w:t>
      </w:r>
    </w:p>
    <w:p>
      <w:r>
        <w:t>In casu, le recourant, qui est père de deux enfants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7.1</w:t>
      </w:r>
    </w:p>
    <w:p>
      <w:r>
        <w:t>L'autorité inférieure a retenu dans sa décision que l'exigence du lien affectif particulièrement fort posée par la jurisprudence semblait remplie. Elle a toutefois relevé que l'intéressé ne versait pas de contribution d'entretien et que l'absence de liens économiques particulièrement forts avec ses filles l'empêchait de se prévaloir de l'art. 8 CEDH. Pour sa part, l'intéressé a estimé qu'il entretenait un lien affectif particulièrement fort avec ses filles. En ce qui concerne le lien économique, il a reconnu qu'il ne pouvait pas verser de contributions d'entretien mais a argué que l'absence de tels liens n'était pas le seul élément dont il fallait tenir compte dans le cadre de l'existence d'une relation étroite au sens de l'art. 8 CEDH. Il a également affirmé participer en nature à l'entretien de ses filles.</w:t>
      </w:r>
    </w:p>
    <w:p>
      <w:r>
        <w:rPr>
          <w:b/>
        </w:rPr>
        <w:t>E. 7.2</w:t>
      </w:r>
    </w:p>
    <w:p>
      <w:r>
        <w:t>Le recourant ne détient pas le droit de garde sur ses filles. Un droit de visite devant s'exercer « le plus largement possible » lui a été octroyé (cf. procès-verbal d'audience du 8 décembre 2016, dossier Symic p. 160). Selon la mère des enfants, l'intéressé voit très régulièrement ses filles à raison de trois à quatre fois par semaine, voire d'avantage et il va les chercher à la crèche les fins d'après-midi lorsque celle-ci travaille (cf. courrier du 6 septembre 2017, dossier Symic p. 186). Il apparaît ainsi que le recourant entretient des liens affectifs particulièrement forts, ce que d'ailleurs le SEM a aussi retenu dans sa décision du 26 octobre 2017.</w:t>
      </w:r>
    </w:p>
    <w:p>
      <w:r>
        <w:rPr>
          <w:b/>
        </w:rPr>
        <w:t>E. 7.3</w:t>
      </w:r>
    </w:p>
    <w:p>
      <w:r>
        <w:t>En ce qui concerne les liens économiques, aucune contribution d'entretien n'a pu être fixée au vu de la situation financière du recourant en 2016 déjà (cf. procès-verbal d'audience du 8 décembre 2016, dossier Symic p. 159). Cela étant, 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(cf. notamment l'arrêt du TF 2C_555/2015 du 21 décembre 2015 consid. 5.3 et les références citées). Les exigences relatives à l'étendue de la relation que l'étranger doit entretenir avec son enfant d'un point de vue économique doivent cependant rester dans l'ordre du possible et du raisonnable (cf. arrêt du TF 2C_555/2015 consid. 5.3 et jurisprudence citée). Toutefois, compte tenu notamment de la durée du séjour en Suisse du recourant et du fait que celui-ci est jeune, est en bonne santé, maîtrise bien le français et est par ailleurs autorisé à travailler, le Tribunal estime que sa situation lui est du moins partiellement imputable (dans le même sens, cf. arrêt du TF 2C_522/2015 du 12 mai 2016 consid. 4.4.1, voir également arrêt du TF 2C_555/2015 consid. 5.3). Cela étant, l'intéressé a essentiellement été au bénéfice de contrats de travail de durée déterminée et faiblement rémunérés (cf. consid. 7.4 infra) ; ainsi, le dernier contrat, d'une durée indéterminée, produit en fin de procédure pour une activité d'aide-livreur et déménageur, ne permet pas encore de penser qu'il pourra à l'avenir contribuer de manière régulière à l'entretien de ses filles, dès lors qu'il s'agit d'une activité sur demande dont ni le taux effectif, ni le salaire n'ont été démontrés. Le recourant a encore allégué qu'il pourvoyait malgré tout à l'entretien de ses filles. Il s'est fondé sur un courrier de la mère de ses filles qui a témoigné que l'intéressé « pren[ait] régulièrement le soin de s'informer auprès [d'elle] de leurs besoins financiers et matériels (alimentation, couches, vêtements, etc.) et tent[ait], dans la mesure de ses possibilités, d'y répondre au mieux » (cf. mémoire de recours du 28 novembre 2017, annexe 3). Cela étant, cet élément ne suffit pas à prouver que l'intéressé contribuerait effectivement en nature à l'entretien de ses filles. Il n'a amené aucune autre preuve, indiquant n'avoir pas de récépissés, dans la mesure où il remettait en main propre à son épouse l'argent nécessaire (cf. dossier TAF act. 20). Or, selon l'art. 8 CC, applicable par analogie, chaque partie doit, si la loi ne prescrit le contraire, prouver les faits qu'elle allègue pour en déduire son droit (cf. arrêt du TF 2C_328/2015 du 2 novembre 2015 consid. 2.1), étant précisé que le devoir de collaborer est particulièrement étendu dans le cadre de procédures relevant du droit des étrangers et, de manière plus générale, lorsqu'il s'agit d'établir des faits que l'administré est mieux à même de connaître que l'autorité, par exemple parce qu'ils ont trait à sa situation personnelle (cf. ATF 133 III 507 consid. 5.4 ; arrêt du TAF F-3321/2017 du 22 novembre 2018 consid. 5.4.4). En tout état, même si l'intéressé était parvenu à démontrer ces allégations, le Tribunal ne saurait retenir que le paiement d'une partie des frais inhérents à l'exercice du droit de visite, tels que par exemple les frais de repas, constitue une contribution d'entretien indirecte susceptible de remplacer un entretien régulier. En effet, en l'absence d'une (quasi-) garde alternée sur les enfants, les prestations en nature que prétend fournir le recourant ne suffiraient pas en l'espèce à compenser l'absence de toute contribution d'entretien régulière en faveur de ses filles. Ainsi, contrairement à ce qu'a affirmé l'intéressé, l'on ne peut considérer qu'il entretient une relation économique forte avec celles-ci. Pour louable qu'il fût, le fait que le recourant prenne en charge ses filles certains après-midis, lorsque travaille la mère (cf. dossier Symic p. 186) n'est pas assimilable à une prestation en nature mais devra être pris en compte dans le cadre de la pesée des intérêts que doit effectuer le Tribunal. Dans ces conditions, on ne saurait accorder un poids décisif à la situation financière précaire du recourant dans l'analyse de la condition relative à l'existence d'une relation économique particulièrement étroite, laquelle doit être niée en l'occurrence.</w:t>
      </w:r>
    </w:p>
    <w:p>
      <w:r>
        <w:rPr>
          <w:b/>
        </w:rPr>
        <w:t>E. 7.4</w:t>
      </w:r>
    </w:p>
    <w:p>
      <w:r>
        <w:t>Enfin, sous l'angle de la condition du comportement irréprochable, il y a lieu tout d'abord de constater que le casier judiciaire du recourant est vierge. Cela dit, l'intéressé a bénéficié de l'aide sociale durant les mois de décembre 2014 à janvier 2017, pour un montant de Fr. 37'259.- (cf. dossier TAF act. 18), étant précisé que cette somme doit être quelque peu relativisée dès lors qu'elle était destinée tant au recourant qu'à son épouse. En outre, l'intéressé présente des dettes et actes de défaut de biens pour un total de Fr. 9'923,55 (cf. dossier TAF act. 11). Cette situation est d'autant plus préoccupante que l'intéressé n'a jamais été en mesure d'acquérir une stabilité professionnelle depuis qu'il se trouve en Suisse. Au contraire, il n'a occupé que des activités de courte durée et faiblement rémunérées. Ainsi, selon les contrats de travail et fiches de salaire produits (cf. dossier TAF act. 11), l'intéressé a travaillé à partir du mois de mai 2014 comme agent d'entretien (pour des revenus mensuels nets compris entre Fr. 344,75 et Fr. 362,90 selon les fiches de salaires produites ; cf. dossier Symic p. 301 et 302), puis en juillet 2014 comme manutentionnaire. En 2016, l'intéressé a travaillé comme magasinier pour des revenus mensuels nets variant entre Fr. 123,75 et Fr. 1'666,05. Cette activité l'a également occupé les mois de janvier à avril, septembre, octobre et novembre 2017 pour des revenus mensuels nets compris entre Fr. 311.- et Fr. 979,25. Le recourant a en outre produit une fiche de salaire d'un montant net de Fr. 1'800,48 pour une activité de vendeur au mois de décembre 2017. Pour l'année 2018, l'intéressé a fourni une convention de travail concernant une activité d'ouvrier viticole à partir du mois de février pour un salaire horaire brut variant entre Fr. 17.- et Fr. 17,90. Cette convention comporte toutefois la mention manuscrite « arrêt travail le 4.6 par l'employé ». Finalement, comme il a été vu ci-dessus (cf. consid. 7.3 supra), si un contrat de travail de durée indéterminée a été produit en fin de procédure, ni le taux d'activité, ni la rémunération n'ont été démontrés. Au vu de ces éléments et, en particulier, de la situation professionnelle très instable du recourant, le Tribunal ne saurait minimiser le risque de voir ce dernier dépendre à nouveau de l'aide sociale à l'avenir. Ce d'autant que, tous comptes faits, on peine d'ores et déjà, en lien avec la situation financière précaire du recourant, à comprendre comment ce dernier parvient à vivre dignement sans recourir actuellement à l'aide sociale, avec les ressources légales à sa disposition. En effet, les revenus qu'il a démontrés, et qu'il déclare à l'autorité fiscale (cf. dossier TAF act. 20), se situent en général en dessous du montant de Fr. 986.- recommandé par la Conférence suisse des institutions d'action sociale (ci-après : CSIAS) pour le forfait pour l'entretien d'une personne seule (cf. le site de la Conférence suisse des institutions de l'action sociale www.csias.ch Les normes CSIAS Normes actuelles Normes CSIAS à partir de 2017, B.2.2, consulté en septembre 2019). Ce flou perdure aujourd'hui malgré l'invitation expresse du Tribunal faite au recourant pour qu'il explique davantage sa situation financière (cf. dossier TAF act. 17). Ce défaut de collaboration lui est imputable et doit ici être pris en compte à son détriment, en ce sens, notamment, qu'on ne saurait retenir un comportement entièrement irréprochable de l'intéressé, ni une perspective que ce dernier puisse adéquatement veiller au bien-être économique de ces filles à l'avenir, alors que rien au dossier ne permet de retenir qu'il n'en aurait pas les capacités personnelles (cf. consid. 7.3 supra).</w:t>
      </w:r>
    </w:p>
    <w:p>
      <w:r>
        <w:rPr>
          <w:b/>
        </w:rPr>
        <w:t>E. 7.5</w:t>
      </w:r>
    </w:p>
    <w:p>
      <w:r>
        <w:t>En conséquence, l'intérêt privé du recourant à voir son autorisation de séjour prolongée ne saurait, dans le cadre de la pesée globale des intérêts effectuée en vertu de l'art. 8 par. 2 CEDH, l'emporter sur l'intérêt public à son éloignement. L'intéressé ne peut dès lors se prévaloir d'un droit de séjour découlant de la seule présence de ses enfants en Suisse. Il devra se contenter d'exercer son droit de visite depuis l'étranger, les modalités quant à la fréquence et à la durée devant être aménagées en fonction de cette situation.</w:t>
      </w:r>
    </w:p>
    <w:p>
      <w:r>
        <w:rPr>
          <w:b/>
        </w:rPr>
        <w:t>E. 7.6</w:t>
      </w:r>
    </w:p>
    <w:p>
      <w:r>
        <w:t>Compte tenu de la distance qui sépare son pays d'origine de la Suisse, il est indéniable que le départ du recourant rendra l'exercice du droit de visite plus difficile, sans toutefois y apporter d'obstacles qui le rendraient pratiquement impossible dans le cadre de séjours à but touristique. Au demeurant, le retour du recourant en Colombie ne signifie pas la perte de tout lien avec ses enfants. Il pourra en effet maintenir des contacts réguliers par téléphone, lettres ou tout moyen électronique avec ceux-ci (arrêts du TF 2C_301/2018 consid. 4.4.3 et 5.2, 2C_786/2016 du 5 avril 2017 consid. 3.3.2, 2C_60/2016 du 25 mai 2016 consid. 5 et 2C_979/2013 du 25 février 2014 consid. 6.2). Il est à noter, de plus, que l'intéressé avait quitté le domicile conjugal alors que ses filles étaient encore en bas-âge, soit une année et demie environ après leur naissance déjà et que la garde a été attribuée exclusivement à la mère. Agées aujourd'hui de cinq ans, elles ont, selon toute vraisemblance, débuté leur scolarité. Par conséquent, le Tribunal estime que le maintien des liens entre les intéressés est compatible avec le séjour à l'étranger du recourant. Par ailleurs, selon la compréhension que le Tribunal a de la jurisprudence récente du Tribunal fédéral et contrairement à ce que semble penser le recourant (cf., en particulier, ATF 144 I 91 consid. 5.2.4 et 140 I 145 consid. 4.3), la Cour suprême a certes relativisé le critère de l'irréprochabilité dans les cas bagatelles et exigé que les liens entre le parent exerçant le droit de visite et son enfant fût envisagé à l'aune d'un examen global de toutes les circonstances du cas d'espèce, en abandonnant une analyse strictement cumulatives des critères affectif, économique et d'irréprochabilité ; en revanche, il n'appert pas que le Tribunal fédéral aurait entendu systématiquement faire passer le lien économique à l'arrière-plan, voire même ne pas tenir compte de son non-respect en la présence d'un lien affectif particulièrement fort.</w:t>
      </w:r>
    </w:p>
    <w:p>
      <w:r>
        <w:rPr>
          <w:b/>
        </w:rPr>
        <w:t>E. 7.7</w:t>
      </w:r>
    </w:p>
    <w:p>
      <w:r>
        <w:t>Sous l'angle de la vie privée, le recourant séjourne en Suisse depuis le mois d'octobre 2013, soit depuis seulement six ans. Ce séjour doit en outre être relativisé car il dépend, depuis fin 2017, de l'effet suspensif de la présente procédure de recours. Le recourant ne peut ainsi ni se prévaloir d'un long séjour en Suisse ni d'une intégration particulièrement approfondie (cf. consid. 7.4 supra).</w:t>
      </w:r>
    </w:p>
    <w:p>
      <w:r>
        <w:rPr>
          <w:b/>
        </w:rPr>
        <w:t>E. 7.8</w:t>
      </w:r>
    </w:p>
    <w:p>
      <w:r>
        <w:t>Le dossier ne fait par ailleurs pas apparaître d'autres éléments pouvant constituer des raisons personnelles majeures au sens de l'art. 50 al. 1 let. b LEtr ou de l'art. 31 al. 1 OASA. La situation de l'intéressé ne diffère en effet pas de celle de nombreux étrangers qui sont appelés à quitter la Suisse au terme d'un séjour autorisé ou non et qui, ne bénéficiant d'aucun traitement particulier, demeurent soumis aux conditions d'admission usuelles. S'agissant des possibilités de réintégration du recourant dans son pays d'origine, il convient tout d'abord de relever que l'intéressé, qui est encore jeune, est entré en Suisse en 2013, à l'âge de 24 ans et a donc vécu une grande partie de son existence en Colombie. Il a notamment passé toute son enfance, ainsi que son adolescence et le début de sa vie d'adulte dans son pays d'origine. Il y a donc nécessairement conservé des attaches culturelles et sociales. Il appert en outre que le recourant dispose d'un réseau familial en Colombie (cf. demande de visa de retour du 25 octobre 2016, dossier cantonal). Finalement, au vu de l'âge et du bon état de santé du recourant, celui-ci devrait être en mesure de se réintégrer dans son pays d'origine, pays dont il maîtrise assurément la langue espagnole (cf., du reste, demande de visa de retour du 25 octobre 2016 et demande pour un visa de long séjour du 31 juillet 2013, dossier cantonal). Partant, le Tribunal estime que, malgré les liens que le recourant s'est créés durant son séjour en Suisse et la présence de ses deux enfants, de nationalité suisse, dans ce pays, sa réintégration en Colombie ne saurait être considérée comme fortement compromise.</w:t>
      </w:r>
    </w:p>
    <w:p>
      <w:r>
        <w:rPr>
          <w:b/>
        </w:rPr>
        <w:t>E. 7.9</w:t>
      </w:r>
    </w:p>
    <w:p>
      <w:r>
        <w:t>Quant aux éléments non encore examinés à prendre en considération conformément à l'art. 31 al. 1 OASA, il sied de relever que le recourant, en Suisse depuis tout juste six ans, n'a pas démontré avoir fait preuve d'une intégration poussée dans ce pays. Il ne s'est en effet pas créé en Suisse des attaches professionnelles ou sociales à ce point profondes et durables qu'un retour dans son pays d'origine ne puisse être exigé. Par ailleurs, eu égard aux éléments exposés ci-avant, la présence de ses enfants n'est pas susceptible de justifier ici, à elle seule, la reconnaissance d'un cas de rigueur (cf. consid. 7.5 supra). Compte tenu de ce qui précède et des possibilités de réintégration du recourant en Colombie, le Tribunal estime que la situation de l'intéressé n'est pas constitutive d'une situation d'extrême gravité.</w:t>
      </w:r>
    </w:p>
    <w:p>
      <w:r>
        <w:rPr>
          <w:b/>
        </w:rPr>
        <w:t>E. 7.10</w:t>
      </w:r>
    </w:p>
    <w:p>
      <w:r>
        <w:t>Enfin, 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8</w:t>
      </w:r>
    </w:p>
    <w:p>
      <w:r>
        <w:t>En considération de ce qui précède, et quand bien même la présence des enfants suisses du recourant constitue un élément important dans la balance des intérêts, le SEM n'a ni excédé ni abusé de son pouvoir d'appréciation en retenant que le recourant ne remplissait pas en l'espèce les conditions de l'art. 50 LEtr et de l'art. 8 CEDH, et en refusant ainsi de donner son approbation au renouvellement de son autorisation de séjour.</w:t>
      </w:r>
    </w:p>
    <w:p>
      <w:r>
        <w:rPr>
          <w:b/>
        </w:rPr>
        <w:t>E. 9</w:t>
      </w:r>
    </w:p>
    <w:p>
      <w:r>
        <w:t>En ce qui concerne les allégations de la reprise de la vie commune entre les époux (cf. dossier TAF act. 11 et 13), le Tribunal relève que celles-ci ne sont pas étayées. Invité expressément à démontrer ces allégations, le recourant a uniquement indiqué que lui et son épouse « souhaitent toutefois ne pas brûler les étapes et avancer tranquillement, sans pression aucune » et ainsi n'avoir « pas encore déposé ses papiers chez son épouse » (dossier TAF act. 13). Bien qu'invité à le faire, il n'a toutefois apporté aucun indice susceptible de corroborer ses dires, pas même une déclaration de la principale intéressée. Ainsi, au terme d'une appréciation de tous les éléments en présence, le Tribunal considère que la reprise de la vie commune ne peut, à ce stade, être retenue. Cela étant, si un tel événement devait effectivement se concrétiser à un moment ultérieur, il resterait loisible aux époux de déposer une demande d'autorisation à l'autorité cantonale compétente, voire une demande de réexamen au SEM pour faits nouveaux proprement dits (cf. arrêt du TAF F-6072/2017 du 4 juillet 2019 consid. 8.1).</w:t>
      </w:r>
    </w:p>
    <w:p>
      <w:r>
        <w:rPr>
          <w:b/>
        </w:rPr>
        <w:t>E. 10</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Colombie et le dossier ne fait pas non plus apparaître que l'exécution de ce renvoi serait impossible, illicite ou inexigible au sens de l'art. 83 al. 2 à 4 LEtr.</w:t>
      </w:r>
    </w:p>
    <w:p>
      <w:r>
        <w:rPr>
          <w:b/>
        </w:rPr>
        <w:t>E. 11</w:t>
      </w:r>
    </w:p>
    <w:p>
      <w:r>
        <w:t>Il ressort de ce qui précède que, par sa décision du 26 octobre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