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F-6725/2017 vom 9. Oktober 2018</w:t>
      </w:r>
    </w:p>
    <w:p>
      <w:r>
        <w:t>Bundesverwaltungsgericht, 2018-10-09, FR</w:t>
      </w:r>
    </w:p>
    <w:p>
      <w:r>
        <w:rPr>
          <w:b/>
        </w:rPr>
        <w:t xml:space="preserve">Quelle: </w:t>
      </w:r>
      <w:r>
        <w:t>https://mcp.opencaselaw.ch/entscheid/bvger_F-6725_2017</w:t>
      </w:r>
    </w:p>
    <w:p>
      <w:r>
        <w:t>FR: TAF F-6725/2017 du 9 octobre 2018</w:t>
      </w:r>
    </w:p>
    <w:p>
      <w:r>
        <w:t>IT: TAF F-6725/2017 del 9 ottobre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hôtes X._______ et Y._______, qui ont pris part à la procédure devant l'autorité inférieure, ont qualité pour recourir (art. 48 al. 1 PA). Présenté dans la forme et les délais prescrits par la loi, le recours dirigé contre la décision du SEM du 3 novembre 2017 est recevable (cf. art. 50 et52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3.La politique des autorités suisses en matière de visa joue un rôle très important dans la prévention de l'immigration clandestine (cf. à ce sujetle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ATF135 II 1 consid. 1.1, concernant une autorisation de séjour, et ATAF 2009/27 consid. 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2014/1consid. 4.1.1 et 4.1.5 et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àl'Annexe 1, ch. 1 LEtr (RS 142.20), ne contiennent pas de dispositions divergentes (cf. art. 2 al. 4 et 5 LEtr). S'agissant des conditions d'entrée en Suisse pour un court séjour (soit un séjour n'excédant pas 90 jours sur toute période de 180 jours), l'art. 2 al. 1 de l'ordonnance sur l'entrée et l'octroi de visas du 22 octobre 2008 (OEV, RS 142.204) - respectivement l'art. 3 al. 1 de la nouvelle ordonnance du 15 août 2018 sur l'entrée et l'octroi de visas (nOEV, RS 142.204), dont la date d'entrée en vigueur a été fixée au 15 septembre 2018 (cf. art. 70 nOEV [disposition transitoire] et71 nOEV) et qui ne se distingue pas matériellement de sa version antérieure sur ce point -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12 al. 1 en relation avec l'art. 2 al. 4 OEV resp. art. 2 let. d ch. 2, art. 3 al. 4 et al. 5, art. 11 let. b nOEV ; art. 32 par. 1 en relation avecl'art. 25 par. 1 let. a et par. 2 du code des visas et art. 6 par. 5 let. a et c du code frontières Schengen).</w:t>
      </w:r>
    </w:p>
    <w:p>
      <w:r>
        <w:rPr>
          <w:b/>
        </w:rPr>
        <w:t>E. 4.3</w:t>
      </w:r>
    </w:p>
    <w:p>
      <w:r>
        <w:t>Le Règlement (CE) 539/2001 du Conseil du 15 mars 2001 (JO L 81 du 21 mars 2001, p. 1-7) - applicable par renvoi - différencie, en sonart. 1 par. 1 et 2, les ressortissants des Etats tiers selon qu'ils sont soumis ou non à l'obligation du visa. En tant que ressortissant bangladais, l'invité est soumis à l'obligation du visa (cf. annexe I du règlement [CE] 539/2001). 5.Quant au fond, l'autorité inférieure a confirmé le refus d'autorisation d'entrée dans l'Espace Schengen prononcé par la Représentation suisse à Dhaka à l'encontre de l'invité. Elle a en effet considéré que la sortie de l'intéressé de l'Espace Schengen, au terme du séjour sollicité, n'apparaissait pas suffisamment garantie, compte tenu de sa situation personnelle (jeune, célibataire, sans famille à charge, n'ayant jamais voyagé dans l'Espace Schengen, peu de moyens financiers) et de la situation socio-économique prévalant dans son pays d'origine. Aux yeux de l'autorité intimée, il ne saurait être exclu que l'intéressé souhaite prolonger sa présence auprès de son frère, une fois arrivé dans l'Espace Schengen, dans l'espoir de trouver des conditions d'existence meilleures que celles qu'il connaît dans sa patrie. A l'appui de leur recours, les hôtes ont souligné qu'ils désiraient offrir l'opportunité à leur invité de passer des vacances en Suisse et de visiterce pays. L'intention de l'intéressé n'était pas de rester en Suisse ou en Europe à l'issue de son séjour. Dans leur réplique du 18 mai 2018, les recourants ont insisté sur le fait que les conditions de vie de l'intéressé au Bangladesh étaient très bonnes et qu'il retournerait y vivre auprès des membres de sa famille et de ses amis ; ils ont joint à leurs observations la copie d'un engagement formel, rédigé par W._______, à quitter la Suisse et l'Espace Schengen à l'échéance de son visa touristique.</w:t>
      </w:r>
    </w:p>
    <w:p>
      <w:r>
        <w:rPr>
          <w:b/>
        </w:rPr>
        <w:t>E. 6.1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Ainsi, il y a lieu de se montrer d'autant plus exigeant que la situation dans le pays d'origine est difficile(cf. ATAF 2014/1 consid. 6.1).</w:t>
      </w:r>
    </w:p>
    <w:p>
      <w:r>
        <w:rPr>
          <w:b/>
        </w:rPr>
        <w:t>E. 6.2</w:t>
      </w:r>
    </w:p>
    <w:p>
      <w:r>
        <w:t>Au regard de la situation socio-économique prévalant au Bangladesh, on ne saurait de prime abord écarter les craintes de l'autorité inférieure de voir l'intéressé prolonger son séjour en Suisse au-delà de la date d'échéance du visa sollicité. A ce propos, il faut prendre en considération la qualité de vie et les conditions économiques particulières que connaît l'ensemble de la population de ce pays. Quand bien même le Bangladesh bénéficie d'un taux de croissance soutenu, de 7.28% pour la période été 2016 - été 2017, sa balance commerciale s'est soldée par un déficit de 9,47 milliards de dollars en 2016/2017, alors que son taux d'inflation s'élevait à 6.7% pour l'année 2016. En outre, bien que la pauvreté recule au Bangladesh depuis une vingtaine d'années, près de 18.5% de la population (soit environ 28 millions de personnes) vit sous le seuil d'extrême pauvreté et la malnutrition y demeure très répandue. Pour l'année 2015, l'indice de développement humain (IDH), qui prend en compte la santé, l'éducation et le revenu des personnes, classe ce pays en 142e position sur 187 Etats. A cela s'ajoutent une situation d'importantes tensions politiques et sociales et une corruption très répandue, ce qui a pour effet de freiner les investissements étrangers (sources : site internet du Département fédéral des affaires étrangères, à l'adresse https://www.dfae.admin.ch/eda/fr/dfae/representations-et-conseils-aux-voyageurs/bangladesh/conseils-voyageurs-bangladesh.html, mis à jour le 1er mai 2018 [consulté en septembre 2018] ; site internet du Ministère français des affaires étrangères, à l'adresse https://www.diplomatie.gouv.fr/fr/dossiers-pays/bangladesh/presentation-du-bangladesh/, mis à jour le 14 juin 2018 [consulté en septembre 2018] ; site internet du Ministère allemand des affaires étrangères, à l'adresse https://www.auswaertiges-amt.de/de/aussenpolitik/laender/bangladesch-node/-/206278, mis à jour en mars 2018 [consulté en septembre 2018] ; voir également ATAF 2014/1 consid. 6.2.1) Dès lors, les conditions socio-économiques difficiles prévalant au Bangladesh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(arrêt du TAF F-4175/2017 du 7 mai 2018 consid. 5.4) Compte tenu de la situation générale au Bangladesh et des nombreux avantages qu'offre la Suisse (en termes de niveau et de qualité de vie, d'emploi, de sécurité, d'infrastructures scolaires et socio-médicales, etc.), le Tribunal ne saurait partant d'emblée faire abstraction du risque d'une éventuelle prolongation par l'intéressé de son séjour sur le territoire helvétique au-delà de la durée de validité de son visa (arrêts du TAFF-6333/2017 du 13 juillet 2018 consid. 7.2 et F-6712/2016 du25 octobre 2017 consid. 5.3).</w:t>
      </w:r>
    </w:p>
    <w:p>
      <w:r>
        <w:rPr>
          <w:b/>
        </w:rPr>
        <w:t>E. 7.1</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 plaide en faveur d'un retour ponctuel de sa part dans son pays d'origine.</w:t>
      </w:r>
    </w:p>
    <w:p>
      <w:r>
        <w:rPr>
          <w:b/>
        </w:rPr>
        <w:t>E. 7.2</w:t>
      </w:r>
    </w:p>
    <w:p>
      <w:r>
        <w:t>En l'occurrence, l'intéressé est célibataire et relativement jeune. Etant donné que son frère, sa belle-soeur et son neveu habitent en Suisse (et que ceux-ci se sont révélés très proches de lui [cf. par exemple le recours du 28 novembre 2017, dans lequel les recourants indiquent que leur enfant «a tissé des liens étroits avec W._______»]), il convient d'admettre que celui-ci dispose d'importantes attaches familiales sur le territoire helvétique. L'argument avancé dans la réplique du 18 mai 2018, selon lequel les parents, les autres membres de la famille et les amis de l'intéressé résideraient au Bangladesh, n'est pas de nature à remettre en cause cette appréciation, ce d'autant moins que ladite affirmation n'a pas été étayée par un quelconque moyen de preuve. En tout état de cause, les recourants ne sont pas parvenus à démontrer que l'intéressé disposerait au Bangladesh d'attaches personnelles à ce point importantes (voire de liens de dépendance familiaux) qu'elles permettraient de considérer son retour comme garanti à la fin du séjour envisagé en Suisse. S'agissant de sa situation professionnelle, il apparaît que l'invité est employé par une compagnie immobilière depuis le mois de juin 2010, dans laquelle il exerce des fonctions de manager. Ce statut ne suffit toutefois pas à garantir son départ ponctuel à l'échéance du visa sollicité. En particulier, il ne ressort pas du dossier de la cause qu'il exerce des responsabilités à ce point importantes dans l'entreprise qui l'emploie, ni qu'il bénéficie d'un salaire tel que sa volonté de quitter l'Espace Schengen à l'issue du séjour envisagé puisse être considérée comme établie. En effet, les pièces produites à l'appui de la demande de visa Schengen indiquent que le salaire mensuel versé à l'intéressé est de 28'000 taka bangladais (BDT), soit environ 333 francs suisses (100 BDT équivalant à 1.19 francs suisses, taux de change au 6 septembre 2018 [voir calculateur de l'Administration fédérale des douanes, à l'adresse https://www.ezv.admin.ch/ezv/fr/home/infos-pour-entreprises/declarer-des-marchandises/taux-de-change--devises-.html]). Cette situation financière modeste - rapportée aux conditions salariales helvétiques - constitue un risque important que l'intéressé décide de prolonger son séjour en Suisse à l'échéance de son visa (arrêt du TAF F-510/2018 du 28 mai 2018 consid. 6.3.2), risque accru par la circonstance qu'il ne s'est jamais rendu dans l'Espace Schengen auparavant.</w:t>
      </w:r>
    </w:p>
    <w:p>
      <w:r>
        <w:rPr>
          <w:b/>
        </w:rPr>
        <w:t>E. 7.3</w:t>
      </w:r>
    </w:p>
    <w:p>
      <w:r>
        <w:t>En tenant compte de l'ensemble de ces éléments, il y a lieu de retenir que la situation personnelle, familiale, financière et sociale de l'intéressé n'offre pas les garanties suffisantes pour rendre hautement vraisemblable son retour au pays à l'échéance du visa requis. 8.Le Tribunal souligne par ailleurs que le désir de l'invité, au demeurant parfaitement compréhensible, de rendre visite aux membres de sa famille résidant en Suisse, ne constitue pas à lui seul un motif justifiant l'octroi d'un visa en sa faveur, à propos duquel il ne saurait au demeurant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ou dans d'autres Etats Schengen. En effet, au vu du nombre important de demandes de visas qui leur sont adressées, les autorités helvétiques ont été amenées à adopter une politique d'admission très restrictive en la matière (consid. 3 supra ; arrêt du TAF F-3605/2017 du16 avril 2018 consid. 6.4). 9.Il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10.Sans pour autant minimiser l'importance des raisons d'ordre affectif qui motivent sa demande, le Tribunal ne saurait dès lors admettre, au vu de l'ensemble des éléments du dossier, que le retour de l'intéressé dans sa patrie au terme du visa requis puisse être considéré comme suffisamment assuré. Même si, comme indiqué (consid. 9 supra), le Tribunal ne remet pas en cause l'honnêteté des recourants qui se sont portés garants du séjour de l'intéressé, il constate que les conditions d'entrée prévues par le code frontières Schengen concernant la garantie que l'invité quittera la Suisse dans le délai fixé ne sont pas remplies en l'espèce. C'est donc de manière fondée que l'autorité de première instance a rejeté l'opposition du 9 août 2017 et confirmé le refus d'octroyer au prénommé une autorisation d'entrée dans l'Espace Schengen. 11.Le Tribunal constate par ailleurs que le dossier ne laisse pas apparaître de motifs susceptibles de justifier la délivrance en faveur de l'intéressé d'un visa à validité territoriale limitée (visa VTL). 12.Il s'ensuit que, par sa décision sur opposition du 3 novembre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Les recourants n'ont, par ailleurs, pas droit à des dépens (art. 64 al. 1 PAa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