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F-6719/2023 vom 20. November 2024</w:t>
      </w:r>
    </w:p>
    <w:p>
      <w:r>
        <w:t>Bundesverwaltungsgericht, 2024-11-20, IT</w:t>
      </w:r>
    </w:p>
    <w:p>
      <w:r>
        <w:rPr>
          <w:b/>
        </w:rPr>
        <w:t xml:space="preserve">Quelle: </w:t>
      </w:r>
      <w:r>
        <w:t>https://mcp.opencaselaw.ch/entscheid/bvger_F-6719_2023</w:t>
      </w:r>
    </w:p>
    <w:p>
      <w:r>
        <w:t>FR: TAF F-6719/2023 du 20 novembre 2024</w:t>
      </w:r>
    </w:p>
    <w:p>
      <w:r>
        <w:t>IT: TAF F-6719/2023 del 20 novembre 2024</w:t>
      </w:r>
    </w:p>
    <w:p>
      <w:pPr>
        <w:pStyle w:val="Heading2"/>
      </w:pPr>
      <w:r>
        <w:t>Regeste</w:t>
      </w:r>
    </w:p>
    <w:p>
      <w:r>
        <w:t>Visto Schengen</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persona che non sono cittadini di uno Stato membro dell’Unione europea, la presente sen- tenza non può essere impugnata davanti al Tribunale federale ed è quindi</w:t>
      </w:r>
    </w:p>
    <w:p>
      <w:r>
        <w:t>F-6719/2023 Pagina 3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 sizione impugnata, il ricorrente ha partecipato alla procedura, fin dall’inizio, firmando la lettera d’invito a favore del richiedente, dimodoché si deve am- mettere che è particolarmente toccato dalla detta decisione, da cui la sua legittimazione a ricorrere (cfr. la sentenza TAF F-3917/2022 del 6 ottobre 2023 consid. 1.2). Sebbene il periodo di visita relativo alla richiesta di visto sia già trascorso, nel ricorso è implicito che la visita prevista avrebbe avuto luogo anche in un momento successivo. Si deve pertanto affermare un in- teresse attuale. Il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 sid. 2.2).</w:t>
      </w:r>
    </w:p>
    <w:p>
      <w:r>
        <w:rPr>
          <w:b/>
        </w:rPr>
        <w:t>E. 3</w:t>
      </w:r>
    </w:p>
    <w:p>
      <w:r>
        <w:t>La presente causa verte sul rifiuto della SEM di rilasciare al richiedente il visto Schengen di breve durata da lui richiesto. Si tratta dunque di verificare</w:t>
      </w:r>
    </w:p>
    <w:p>
      <w:r>
        <w:t>F-6719/2023 Pagina 4 se le condizioni per l’emissione di tale visti, secondo la normativa Schen- 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w:t>
      </w:r>
    </w:p>
    <w:p>
      <w:r>
        <w:t>F-6719/2023 Pagina 5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w:t>
      </w:r>
    </w:p>
    <w:p>
      <w:r>
        <w:t>F-6719/2023 Pagina 6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5</w:t>
      </w:r>
    </w:p>
    <w:p>
      <w:r>
        <w:t>In concreto, essendo di nazionalità tunisina, il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w:t>
      </w:r>
    </w:p>
    <w:p>
      <w:r>
        <w:t>F-6719/2023 Pagina 7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della Tunisia va evidenziato quanto segue.</w:t>
      </w:r>
    </w:p>
    <w:p>
      <w:r>
        <w:rPr>
          <w:b/>
        </w:rPr>
        <w:t>E. 7.2</w:t>
      </w:r>
    </w:p>
    <w:p>
      <w:r>
        <w:t>Per quanto riguarda la situazione in Tunisia e in particolare la situa- zione economica, il Tribunale osserva che il prodotto interno lordo (PIL) pro capite nel 2024 è stimato a circa 4.400 dollari americani per la Tunisia e a circa 105.670 dollari americani per la Svizzera (cfr. https://www.imf.org/ex- ternal/datamapper/NGDPDPC@WEO/OEMDC/ADVEC/WEOWORLD, vi- sionato il 4 novembre 2024). Inoltre, la Tunisia – che è indebitata per circa l'80% del suo PIL – è nel mezzo di una crisi economica e finanziaria che sta portando a una carenza cronica di prodotti alimentari base, medicinali, carburante e gas. L'economia tunisina è in fase di stagnazione, con una crescita di appena l'1,3% lo scorso anno e un tasso di disoccupazione di circa il 16% (cfr. https://www.nzz.ch/international/wahlen-in-tunesien-prae- sident-kais-saied-will-seine-macht-zementieren-ld.1770974 e https://www.l emonde.fr/afrique/article/2023/06/02/en-tunisie-pour-se-passer-des-diktat s-du-fmi-kaies-saied-veut-taxer-les-riches_6175870_3212.html, visonati il 4 novembre 2024). In termini di condizioni sociali, va notato che l'Indice di Sviluppo Umano (ISU) classifica la Tunisia al 101° posto, tenendo conto della salute, dell'istruzione e del tenore di vita. La Svizzera, invece, è al</w:t>
      </w:r>
    </w:p>
    <w:p>
      <w:r>
        <w:t>F-6719/2023 Pagina 8 primo posto (cfr. https://hdr.undp.org/data-center/country-insights#/ranks visionato il 4 novembre 2024).</w:t>
      </w:r>
    </w:p>
    <w:p>
      <w:r>
        <w:rPr>
          <w:b/>
        </w:rPr>
        <w:t>E. 7.3</w:t>
      </w:r>
    </w:p>
    <w:p>
      <w:r>
        <w:t>Per quanto riguarda la situazione politica, il Dipartimento federale degli affari esteri (DFAE) rileva che la Tunisia è caratterizzata da forti tensioni economiche, politiche e sociali. Occasionalmente si verificano scioperi e manifestazioni, che possono provocare scontri tra manifestanti e forze di sicurezza. Gli scioperi a volte causano carenza di carburante e interruzioni dei trasporti pubblici in tutto il Paese. Inoltre, lo stato di emergenza imposto nel 2015, ancora in vigore in tutta la Tunisia, viene regolarmente esteso e il governo può imporre il coprifuoco in caso di disordini. Esiste anche il ri- schio di attentati terroristici in tutto il Paese, l'ultimo dei quali nel maggio 2023 (cfr. https://www.eda.admin.ch/eda/it/dfae/rappresentanze-e-consi- gli-di-viaggio/tunisia/consigli-viaggio-tunisia.html, visionato il 4 novembre 2024). Inoltre, il Paese è scosso da tensioni politiche dal colpo di Stato con cui il Presidente Kaïs Saïed ha preso il potere nel luglio 2021 (cfrhttps://www.lemonde.fr/afrique/article/2024/01/24/en-tunisie-kais-saied po urvoit-trois-postes-vacants-de-ministres_6212736_3212.html, visionato il 4 novembre 2024).</w:t>
      </w:r>
    </w:p>
    <w:p>
      <w:r>
        <w:rPr>
          <w:b/>
        </w:rPr>
        <w:t>E. 7.4</w:t>
      </w:r>
    </w:p>
    <w:p>
      <w:r>
        <w:t>Alla luce di questo quadro socioeconomico generale, da rapportare alla situazione vigente negli Stati della zona Schengen, e segnatamente in Svizzera, va da sé che il rischio teorico che il richiedente secondo il profilo statistico medio dell’abitante tunisino, potrebbe essere tentato di non la- sciare la zona in questione entro il termine di scadenza del visto richiesto, non può essere a priori escluso.</w:t>
      </w:r>
    </w:p>
    <w:p>
      <w:r>
        <w:rPr>
          <w:b/>
        </w:rPr>
        <w:t>E. 8.1</w:t>
      </w:r>
    </w:p>
    <w:p>
      <w:r>
        <w:t>Dal punto di vista della situazione personale, familiare e professionale del richiedente, si deve osservare quanto segue.</w:t>
      </w:r>
    </w:p>
    <w:p>
      <w:r>
        <w:rPr>
          <w:b/>
        </w:rPr>
        <w:t>E. 8.2</w:t>
      </w:r>
    </w:p>
    <w:p>
      <w:r>
        <w:t>Il richiedente, cittadino tunisino, è nato nel 1993. Non è sposato e non ha figli. Eventuali membri della famiglia del richiedente in Tunisia non ven- gono menzionati e non emergono nemmeno dagli atti presenti. Non risul- tano, quindi, obblighi familiari nel Paese di residenza. Per quanto riguarda la situazione professionale del richiedente, va menzio- nato che aveva un contratto di lavoro stagionale con la compagnia aerea D._______ dal 15 maggio al 14 novembre 2023. Il richiedente non ac- cenna alcun impiego attuale. Cioè anche dal punto di vista lavorativo, non risultano obblighi utili a formulare una previsione favorevole riguardo alla partenza regolare dallo spazio Schengen.</w:t>
      </w:r>
    </w:p>
    <w:p>
      <w:r>
        <w:t>F-6719/2023 Pagina 9 Il richiedente afferma di aver già visitato la Svizzera in qualità di steward e di possedere a tal riguardo tre visti Schengen nel suo passaporto. Dagli atti emerge che il richiedente aveva ottenuto due visti Schengen nel periodo 2019- 2020. Tuttavia, il tempo trascorso dall'ottenimento dei visti è troppo lungo per poter trarre conclusioni sul suo comportamento attuale e in par- ticolare allora si trovava in una situazione diversa, in quanto era impiegato. Occorre infine ricordare che la situazione finanziaria del ricorrente, in qua- lità di ospitante del richiedente, di per sé non è indicativa di una previsione favorevole riguardo alla partenza regolare del richiedente, in quanto la si- tuazione di quest'ultimo è rilevante per la prognosi di un rientro tempestivo.</w:t>
      </w:r>
    </w:p>
    <w:p>
      <w:r>
        <w:rPr>
          <w:b/>
        </w:rPr>
        <w:t>E. 8.3</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 ricorrente contro la decisione di rifiuto dell’Ambasciata di Svizzera in Tunisia di rilasciare al richiedente un visto Schengen di breve durata, la SEM non ha violato la normativa Schengen e il diritto federale (cfr. art. 49 lett. a PA). Pertanto, il ricorso deve essere respinto e la decisione su opposizione confermata.</w:t>
      </w:r>
    </w:p>
    <w:p>
      <w:r>
        <w:rPr>
          <w:b/>
        </w:rPr>
        <w:t>E. 10.1</w:t>
      </w:r>
    </w:p>
    <w:p>
      <w:r>
        <w:t>Le spese processuali sono di regola messe a carico della parte soc- combente e, in caso di soccombenza parziale, sono ridotte (art. 63 cpv. 1 PA). In concreto, considerato l’esito negativo del ricorso, le spese proces- suali di fr. 700.– sono poste a carico del ricorrente e prelevate sull’anticipo, dello stesso importo, da lui già versato.</w:t>
      </w:r>
    </w:p>
    <w:p>
      <w:r>
        <w:rPr>
          <w:b/>
        </w:rPr>
        <w:t>E. 10.2</w:t>
      </w:r>
    </w:p>
    <w:p>
      <w:r>
        <w:t>Al ricorrente non sono assegnate spese ripetibili (art. 64 cpv. 1 PA e art. 7 cpv. 1 e 2 TS-TAF). (dispositivo pagina seguente)</w:t>
      </w:r>
    </w:p>
    <w:p>
      <w:r>
        <w:t>F-6719/2023 Pagina 10 Per questi motivi, il Tribunale amministrativo federale pronun- cia: 1. Il ricorso è respinto. 2. Le spese processuali di fr. 700.–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