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F-6711/2023 vom 14. Dezember 2023</w:t>
      </w:r>
    </w:p>
    <w:p>
      <w:r>
        <w:t>Bundesverwaltungsgericht, 2023-12-14, DE</w:t>
      </w:r>
    </w:p>
    <w:p>
      <w:r>
        <w:rPr>
          <w:b/>
        </w:rPr>
        <w:t xml:space="preserve">Quelle: </w:t>
      </w:r>
      <w:r>
        <w:t>https://mcp.opencaselaw.ch/entscheid/bvger_F-6711_2023</w:t>
      </w:r>
    </w:p>
    <w:p>
      <w:r>
        <w:t>FR: TAF F-6711/2023 du 14 décembre 2023</w:t>
      </w:r>
    </w:p>
    <w:p>
      <w:r>
        <w:t>IT: TAF F-6711/2023 del 14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bemängeln in formeller Hinsicht, die Vorin-stanz sei ihrer Pflicht, ihre gesundheitliche Situation hinreichend abzuklären und in den Erwägungen zu berücksichtigen, nicht nachgekommen. Ebenso habe sie ausser Acht gelassen, dass es sich beim Beschwerdeführer um ein Folteropfer handle. Sodann habe sie sich nicht mit dem Kindeswohl, den Bestimmungen des Übereinkommens vom 20. November 1989 über die Rechte des Kindes (KRK, SR 0.107) und den Interessen ihrer Kinder auseinandergesetzt. Dadurch liege eine Verletzung der Pflicht zur richtigen und vollständigen Sachverhaltsermittlung sowie des rechtlichen Gehörs (Begründungspflicht) vor. Diese formellen Rügen sind vorab zu beurteilen.</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 Ihre Grenze findet die Untersuchungspflicht an der Mitwirkungspflicht der Asylsuchenden (vgl. Art. 8 AsylG). Wie den Akten entnommen werden kann, hat das SEM vor der Redaktion der angefochtenen Verfügung im Zusammenhang mit den von den Beschwerdeführenden angeführten physischen und psychischen Problemen ärztliche Berichte eingeholt und bei der zuständigen Pflege um Auskünfte und weitere relevante Informationen zu ihrem Gesundheitszustand ersucht sowie deren Antworten abgewartet (vgl. SEM act. 1287880-39/3 [nachfolgend: act. 39]; SEM act. 1287880-40/4 [nachfolgend: act. 40]; SEM act. 1287880-47/2 [nachfolgend: act. 47]; SEM act. 1287880-48/3 [nachfolgend: act. 48]; SEM act. 1287880-49/1 [nachfolgend: act. 49]; SEM act. 1287880-50/2 [nachfolgend: act. 50]). Das SEM hat sich alsdann in seiner Verfügung mit ihrem Gesundheitszustand rechtsgenüglich auseinandergesetzt und dazu den medizinischen Sachverhalt gestützt auf ihre Angaben im Dublin-Gespräch und die vorhandenen medizinischen Akten zusammengefasst. In diesem Zusammenhang wies es darauf hin, dass ärztliche Termine aus administrativen Gründen (Nennung Gründe) teilweise nicht hätten stattfinden können, nun aber gemäss Auskunft des Gesundheitsdienstes im BAZ (Nennung Zeitpunkt) stattfinden würden respektive nach (Nennung Zeitpunkt) eingeplant seien (vgl. SEM act. 1287880-51/19 [nachfolgend: act. 51], S. 4 f. und S. 11). Weitere medizinische Abklärungen hielt das SEM hingegen zu Recht nicht für erforderlich. Diesbezüglich verwies es in zutreffender Weise auf die ausreichende medizinische Infrastruktur in Kroatien und die Möglichkeit, die aktuell vorgesehenen Behandlungen bis zur Überstellung zunächst in der Schweiz und anschliessend in Kroatien weiterzuführen. Das Gericht teilt die Auffassung des SEM, wonach im Rahmen der ausstehenden Untersuchungen keine derart schwerwiegenden Diagnosen zu erwarten sind, welche eine Änderung der vorinstanzlichen Einschätzung bewirken könnten (vgl. SEM act. 51 S. 11 f.). Der von einer Fachperson verfasste Arztbericht vom (...), in welchem dem Beschwerdeführer - ohne irgendwelchen Bezug zu Folterungen zu äussern - eine (Nennung Diagnose) attestiert wird, stützt sich einzig auf seine eigenen Schilderungen und eignet sich deshalb nicht für den Nachweis, dass es sich bei ihm - wie in der Beschwerdeschrift behauptet - um ein Folteropfer handelt. Das diagnostizierte (...) Leiden liesse sich daher grundsätzlich auf unterschiedlichste Ursachen zurückführen. Die Folterkonvention (SR 0.105) und der Antifolterausschuss (CAT) halten Folteropfer im Übrigen dazu an, dem Vertragsstaat beziehungsweise dem Folterausschuss alle Informationen zur Verfügung zu stellen, die auf begangene Folterhandlungen hindeuten könnten, was vorliegend bislang nicht geschah. Die gesundheitliche Situation der übrigen Beschwerdeführenden wurde sodann ebenfalls von ärztlichem Fachpersonal beurteilt. Vor diesem Hintergrund bestand seitens des SEM kein Anlass, vor Erlass der angefochtenen Verfügung die verschobenen ärztlichen Nachfolgetermine respektive deren Resultat abzuwarten. Ob die Beurteilung der medizinischen Umstände korrekt erfolgt ist, beschlägt nicht das rechtliche Gehör, sondern die rechtliche Würdigung dieser Sachverhaltselemente.</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SEM act. 51 S. 6ff.). Dabei musste sie sich nicht ausdrücklich mit jeder tatbestandlichen Behauptung und jedem rechtlichen Einwand auseinandersetzen, sondern durfte sich auf die wesentlichen Gesichtspunkte beschränken (BGE 143 III 65 E. 5.2), was sie hier getan hat. So sind den Erörterungen der Vorinstanz Ausführungen zum Verhalten der kroatischen Grenzbehörden den Beschwerdeführenden gegenüber, zur Frage einer Kettenabschiebung und zu derjenigen des Vorliegens von systemischen Mängeln im kroatischen Asyl- und Aufnahmesystem, zu den Möglichkeiten der Beschwerdeführenden, sich gegen unkorrektes Verhalten zu wehren oder die Behörden um Schutz zu ersuchen sowie zu ihrem Gesundheitszustand und den medizinischen Behandlungsmöglichkeiten (inkl. dem Hinweis auf Art. 19 der Aufnahmerichtlinie, die bei Antragstellern mit besonderen Bedürfnissen [mitgemeint sind insbesondere auch Folteropfer, vgl. Art. 21 Aufnahmerichtlinie] die erforderliche medizinische einschliesslich einer geeigneten psychologischen Betreuung umfasst) zu entnehmen. Sodann hat das SEM vorliegend das Kindeswohl implizit mitberücksichtigt, zumal es in seinen Erwägungen die Beschwerdeführenden stets als familiäre Einheit erkannte und entsprechend beurteilte und auch keine Hinweise erkennbar sind, dass in Kroatien die Gefahr bestehen könnte, die Kinder würden von ihren Eltern getrennt. So ist bei der Prüfung des Kindeswohls das grundlegende Bedürfnis von Kindern zu berücksichtigen, in möglichst engem Kontakt mit ihren Eltern respektive einem Elternteil aufwachsen zu können. Sodann kann aus der Kinderrechtskonvention kein Anspruch auf Aufenthalt im Staat mit den für ein Kind vorteilhaftesten Lebensbedingungen abgeleitet werden (vgl. Urteil des BVGer E-1087/2023 vom 1. März 2023 E. 8.4).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Beweismittel nicht teilen, ist keine Verletzung des rechtlichen Gehörs, sondern betrifft eine materielle Frage betreffend die Würdigung der vorgebrachten Überstellungshindernisse.</w:t>
      </w:r>
    </w:p>
    <w:p>
      <w:r>
        <w:rPr>
          <w:b/>
        </w:rPr>
        <w:t>E. 4.4</w:t>
      </w:r>
    </w:p>
    <w:p>
      <w:r>
        <w:t>Die formellen Rügen erweisen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Den Akten zufolge stellten die Beschwerdeführenden am (...) in Kroatien Asylgesuche und wurde dort gleichentags daktyloskopiert (EURODAC-Abgleiche vom 18. Oktober 2023; vgl. Sachverhalt Bst. A.a). Daran vermag der Hinweis des Beschwerdeführers, es seien ihm die Fingerabdrücke zwangsweise abgenommen worden, nichts zu ändern (vgl. SEM act. 1287880-43/3 [nachfolgend: act. 43] S. 1 f.). Die zuständigen kroatischen Behörden stimmten dem Wiederaufnahmeersuchen des SEM vom 19. Oktober 2023 innert der massgeblichen Frist denn auch ausdrücklich zu. Damit sind sowohl die Antragsstellung in Kroatien als auch der Umstand als erstellt zu erachten, dass das kroatische Verfahren zur Bestimmung des für die Beschwerdeführenden zuständigen Mitgliedstaates gemäss Art. 20 Abs. 5 Dublin-III-VO noch nicht abgeschlossen wurde und nach ihrer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Im erwähnten Referenzurteil untersuchte das Gericht, ob angesichts der andauernden Berichte über unzulässige Push-Backs (direkt an der kroati-schen Grenze oder vom Inland aus) und der dabei praktizierten exzessiven Gewaltanwendung durch die kroatischen Behörden an dieser Rechtsprechung festgehalten werden kann. Gestützt auf eine umfassende Analyse diverser staatlicher und nichtstaatlicher Quellen und unter Berücksichtigung der Rechtsprechung anderer Dublin-Mitgliedstaaten bestätigte das Bundesverwaltungsgericht seine bisherige Rechtsprechung. Es erwog, dass sich der Verdacht eines Gefährdungszusammenhangs zwischen Push-Backs einerseits und Dublin-Rückkehr andererseits nicht erhärten lasse, wobei diesbezüglich zwischen Aufnahme- und Wiederaufnahmeverfahren kein Unterschied bestehe. Im Ergebnis sei davon auszugehen, dass Gesuchstellende, welche gestützt auf die Dublin-III-VO nach Kroatien überstellt würden, Zugang zum dortigen Asylverfahren erhielten, eine angemessene Unterkunft und bei Bedarf Zugang zu medizinischer Versorgung bekommen würden (E. 10.3 ebenda). Es besteht somit auch unter Berücksichtigung kritischer Berichte nationaler und internationaler Organisationen sowie der diesbezüglich in der Rechtsmitteleingabe zitierten Quellenhinweise (vgl. S. 9 ff.) kein Grund, aus Anlass der vorliegenden Streitsache von dieser Beurteilung abzuweichen. Die nicht weiter belegten Ausführungen der Beschwerdeführenden zu den schlechten Bedingungen und der ausgebliebenen medizinischen Betreuung während ihres kurzen Aufenthalts in Kroatien (vgl. SEM act. 43 S. 2; SEM act. 1287880-41/3 [nachfolgend: act. 41] S. 1 f.) sind nicht geeignet, die Annahme zu widerlegen, wonach Kroatien seinen völkerrechtlichen Verpflichtungen im Rahmen eines Asylverfahrens nachkomme (vgl. dazu Referenzurteil E-1488/2020 E. 8 und E. 9.5). Gegen das Fehlverhalten von einzelnen Polizeibeamten oder Angestellten der Unterkunft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Behörden, das sich im Übrigen auf Vorkommnisse nach ihrer illegalen Einreise und nicht auf den Aufenthalt in den dortigen Aufenthaltsstrukturen bezieht. Auch ihre Befürchtung, allenfalls durch (Nennung Personen), welche mit kroatischen Personen zusammenarbeiten würden, Nachteile zu erleiden, vermag kein ernsthaftes und konkretes Risiko einer Verletzung von Art. 3 EMRK zu begründen. Diesbezüglich ist darauf zu verweisen, dass es ihnen zugemutet werden kann, die zuständigen Behörden vor Ort um Schutz zu ersuchen.</w:t>
      </w:r>
    </w:p>
    <w:p>
      <w:r>
        <w:rPr>
          <w:b/>
        </w:rPr>
        <w:t>E. 8.3.1</w:t>
      </w:r>
    </w:p>
    <w:p>
      <w:r>
        <w:t>Betreffend den Gesundheitszustand lässt sich den vorinstanzlichen Akten entnehmen, dass der Beschwerdeführer seinen Angaben im persönlichen Gespräch zufolge infolge der in der Heimat erlittenen Erlebnisse an (Nennung Leiden, Diagnose und Therapie). Bei der Beschwerdeführerin wurden sodann (Nennung Leiden, Behandlung und vorgesehene Untersuchung) (vgl. SEM act. 40 und 50). Hinsichtlich der Kinder sind bezüglich der beiden Töchter keine gesundheitlichen Beschwerden mehr und hinsichtlich der Söhne lediglich geringfügige physische Beschwerden (Nennung Leiden) bekannt (vgl. SEM act. 50).</w:t>
      </w:r>
    </w:p>
    <w:p>
      <w:r>
        <w:rPr>
          <w:b/>
        </w:rPr>
        <w:t>E. 8.3.2</w:t>
      </w:r>
    </w:p>
    <w:p>
      <w:r>
        <w:t>Die erwähnten medizinischen Probleme physischer und psychischer Art sind aufgrund der Aktenlage offensichtlich nicht derart schwerwiegend, dass davon ausgegangen werden müsste, die Beschwerdeführenden könnte nicht auch in Kroatien adäquat (weiter-)behandelt werden, wo grundsätzlich eine durchaus ausreichende medizinische Infrastruktur zur Verfügung steht (vgl. insbes. Referenzurteil E-1488/2020 a.a.O. E. 10.2, statt vieler das Urteil BVGer E-2952/2023 vom 31. Mai 2023 E. 7.3, je m.w.H.). Die Mitgliedstaaten sind denn auch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Auch ist unter Berücksichtigung allfälliger Schwierigkeiten beim Zugang zu medizinischer Versorgung nicht davon auszugehen, dass Kroatien seinen Verpflichtungen im Rahmen der Dublin-III-VO in medizinischer Hinsicht in genereller Weise nicht nachkommen könnte beziehungsweise nicht nachkommen wollte. Namentlich die "Médecins du Monde" sind nur eine von mehreren Stellen, welche die medizinische Betreuung von Asylsuchenden in Kroatien gewährleisten. Neben den staatlichen Stellen unterstützt insbesondere auch das Kroatische Rote Kreuz vulnerable Asylsuchende, die in den Empfangszentren untergebracht sind (vgl. Urteile des BVGer E-3851/2023 vom 14. Juli 2023 E. 7.4.5 und D-1428/2023 vom 7. Juli 2023 E. 6.4.2, je m.w.H.)</w:t>
      </w:r>
    </w:p>
    <w:p>
      <w:r>
        <w:rPr>
          <w:b/>
        </w:rPr>
        <w:t>E. 8.4</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5. Dezember 2023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VwVG.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