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F-6709/2018 vom 26. März 2020</w:t>
      </w:r>
    </w:p>
    <w:p>
      <w:r>
        <w:t>Bundesverwaltungsgericht, 2020-03-26, DE</w:t>
      </w:r>
    </w:p>
    <w:p>
      <w:r>
        <w:rPr>
          <w:b/>
        </w:rPr>
        <w:t xml:space="preserve">Quelle: </w:t>
      </w:r>
      <w:r>
        <w:t>https://mcp.opencaselaw.ch/entscheid/bvger_F-6709_2018</w:t>
      </w:r>
    </w:p>
    <w:p>
      <w:r>
        <w:t>FR: TAF F-6709/2018 du 26 mars 2020</w:t>
      </w:r>
    </w:p>
    <w:p>
      <w:r>
        <w:t>IT: TAF F-6709/2018 del 26 marzo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Am 1. Januar 2019 ist die Teilrevision des Ausländergesetzes vom 16. Dezember 2005 (AuG) abschliessend in Kraft getreten (AS 2018 3171). Dabei wurde der Titel des Gesetzes in "Ausländer- und Integrationsgesetz" (AIG) geändert. Das Gericht wendet ab diesem Zeitpunkt die neue Bezeichnung an, mit dem Hinweis, dass die in diesem Urteil behandelten wesentlichen Bestimmungen nicht geändert wurden. Gleiches gilt für die Bestimmungen der Verordnung vom 24. Oktober 2007 über Zulassung, Aufenthalt und Erwerbstätigkeit (VZAE, SR 142.201).</w:t>
      </w:r>
    </w:p>
    <w:p>
      <w:r>
        <w:rPr>
          <w:b/>
        </w:rPr>
        <w:t>E. 4</w:t>
      </w:r>
    </w:p>
    <w:p>
      <w:r>
        <w:t>In formeller Hinsicht rügt die Parteivertreterin, die Vorinstanz sei ihrer Begründungspflicht bloss ungenügend nachgekommen. In der Replik wird zudem eine Verletzung des Untersuchungsgrundsatzes, und damit einhergehend, eine Gehörsverletzung geltend gemacht.</w:t>
      </w:r>
    </w:p>
    <w:p>
      <w:r>
        <w:rPr>
          <w:b/>
        </w:rPr>
        <w:t>E. 4.1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4.2</w:t>
      </w:r>
    </w:p>
    <w:p>
      <w:r>
        <w:t>Aus der angefochtenen Verfügung geht hervor, aus welchen Gründen die Vorinstanz ein zweijähriges Einreiseverbot erliess (illegale Erwerbstätigkeit unter Erläuterung dieses Tatbestandes, Dualismus von Straf- und Administrativverfahren). Die zur Anwendung gelangenden Rechtsgrundlagen (Art. 67 Abs. 2 Bst. a AIG, Art. 80 Abs. 1 Bst. a und Art. 80 Abs. 2 VZAE) wurden hierbei aufgeführt. Da die Beschwerdeführerin anlässlich der Gewährung des rechtlichen Gehörs sodann keine privaten Interessen geltend machte (SEM act. 1, pag. 2), kann dem SEM auch diesbezüglich nichts vorgeworfen werden. In der Vernehmlassung hat die Vorinstanz weitere Elemente (Resümee der Aussagen von Auskunftspersonen mit entsprechenden Schlussfolgerungen, Kontaktmöglichkeiten zu dem in der Schweiz ansässigen Freund) miteinbezogen. Unter den dargelegten Umständen war für die Beschwerdeführerin ohne weiteres erkennbar, von welchen Motiven sich die Vorinstanz bei ihrem Entscheid leiten liess und war sie in der Lage, ihre Parteirechte sachgerecht wahrzunehmen. Das SEM ist seiner Begründungspflicht mithin in rechtsgenüglicher Weise nachgekommen.</w:t>
      </w:r>
    </w:p>
    <w:p>
      <w:r>
        <w:rPr>
          <w:b/>
        </w:rPr>
        <w:t>E. 4.3</w:t>
      </w:r>
    </w:p>
    <w:p>
      <w:r>
        <w:t>Der Beschwerdeführerin wurden im Verlaufe des Verfahrens sämtliche relevanten Unterlagen zur Stellungnahme unterbreitet. Die nachträglich aufgeworfene Frage, ob der rechtserhebliche Sachverhalt richtig und vollständig abgeklärt wurde (Art. 49 Bst. b VwVG), ist derweil materiell-rechtlicher Natur. Dasselbe gilt hinsichtlich der in diesem Zusammenhang geltend gemachten Verletzung von Beweisregeln, die ebenfalls Gegenstand der materiell-rechtlichen Beurteilung bilden.</w:t>
      </w:r>
    </w:p>
    <w:p>
      <w:r>
        <w:rPr>
          <w:b/>
        </w:rPr>
        <w:t>E. 4.4</w:t>
      </w:r>
    </w:p>
    <w:p>
      <w:r>
        <w:t>Die erhobenen formellen Rügen erweisen sich somit als unbegründet.</w:t>
      </w:r>
    </w:p>
    <w:p>
      <w:r>
        <w:rPr>
          <w:b/>
        </w:rPr>
        <w:t>E. 5.1</w:t>
      </w:r>
    </w:p>
    <w:p>
      <w:r>
        <w:t>Das Einreiseverbot kann gestützt auf Art. 67 Abs. 2 AIG gegenüber ausländischen Personen verfügt werden, die gegen die öffentliche Sicher-heit und Ordnung in der Schweiz oder im Ausland verstossen haben oder diese gefährden (Art. 67 Abs. 2 Bst. a AIG), Sozialhilfekosten verursacht haben (Art. 67 Abs. 2 Bst. b AIG) oder in Vorbereitungs-, Ausschaffungs- oder Durchsetzungshaft genommen werden mussten (Art. 67 Abs. 2 Bst. c AIG). Das Verbot wird für eine Dauer von höchstens fünf Jahren verfügt. Für eine längere Dauer kann es angeordnet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5.2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VZAE). Widerhandlungen gegen Normen des Ausländerrechts fallen ohne weiteres unter diese Begriffsbestimmung und können ein Einreiseverbot nach sich ziehen (vgl. Botschaft, a.a.O., S. 3813). Dabei genügt es, wenn der ausländischen Person eine Sorgfaltspflichtverletzung zugerechnet werden kann (vgl. anstelle vieler: Urteil des BVGer F-3163/2017 vom 12. März 2019 E. 6.2).</w:t>
      </w:r>
    </w:p>
    <w:p>
      <w:r>
        <w:rPr>
          <w:b/>
        </w:rPr>
        <w:t>E. 5.3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6.1</w:t>
      </w:r>
    </w:p>
    <w:p>
      <w:r>
        <w:t>Die Vorinstanz begründete die angefochtene Verfügung wie dargetan damit, die Beschwerdeführerin sei in der Schweiz erwerbstätig gewesen, ohne im Besitze der erforderlichen ausländerrechtlichen Bewilligung zu sein. Die Ausübung einer solchen unbewilligten Erwerbstätigkeit stelle einen Verstoss gegen die öffentliche Sicherheit und Ordnung dar.</w:t>
      </w:r>
    </w:p>
    <w:p>
      <w:r>
        <w:rPr>
          <w:b/>
        </w:rPr>
        <w:t>E. 6.2</w:t>
      </w:r>
    </w:p>
    <w:p>
      <w:r>
        <w:t>In Bezug auf den Vorwurf der illegalen Erwerbstätigkeit kann einem Polizeirapport vom 1. November 2018 entnommen werden, dass Mitarbeitende der Zuger Polizei am Halloweenabend (31. Oktober 2018) im mehrfach erwähnten Lokal in Baar eine Betriebskontrolle durchführten. Hierbei wurde auch die Beschwerdeführerin angetroffen und kontrolliert. Aufgrund der am selben Abend getätigten Abklärungen stellte sich heraus, dass sie dort arbeitete, ohne im Besitze der entsprechenden Bewilligung zu sein. Wohl bestritt sie, illegal erwerbstätig gewesen zu sein, als Auskunftspersonen dazu befragte Gäste des Gastronomiebetriebs bestätigten indes, dass sie zum Servicepersonal gehöre (SEM act. 1, pag. 17 - 22).</w:t>
      </w:r>
    </w:p>
    <w:p>
      <w:r>
        <w:rPr>
          <w:b/>
        </w:rPr>
        <w:t>E. 6.3</w:t>
      </w:r>
    </w:p>
    <w:p>
      <w:r>
        <w:t>In der polizeilichen Einvernahme vom 31. Oktober / 1. November 2018 bestritt die Beschwerdeführerin vehement, einer Erwerbstätigkeit nachgegangen zu sein. Sie habe sich wegen ihres Freundes im Lokal aufgehalten; er sei der Geschäftsführer. Sie sei vor drei Tagen aus Slowenien hierhin gekommen und seither mehrere Male als Gast im Lokal anwesend gewesen. Auf den Vorhalt, die Beschwerdeführerin habe man bereits am 8. Oktober 2018 an derselben Örtlichkeit kontrolliert, bestätigte sie, mit ihrem Freund seit zweieinhalb Monaten in einer Beziehung zu leben und sich während dieser Zeit viermal in der Schweiz aufgehalten zu haben. Deshalb sei sie auch regelmässig ins Lokal gekommen, aber stets nur in ihrer Eigenschaft als Partnerin des Geschäftsführers, also aus rein privaten Gründen. Konfrontiert mit den Aussagen von Gästen, die angegeben hatten, von der Beschwerdeführerin bedient worden zu sein, antwortete sie, die Gäste würden lügen (SEM act. 1, pag. 1 - 10). Auch auf Beschwerdeebene bestritt sie, im Gastgewerbebetrieb ihres Freundes erwerbstätig gewesen zu sein. Selbst als die Polizei die Räumlichkeiten betreten habe, sei dies nicht der Fall gewesen; insbesondere habe sie zum fraglichen Zeitpunkt weder Arbeitskleidung getragen noch über Schlüssel zu den Lokalitäten verfügt (BVGer act. 1 bzw. act. 8). Mit verfahrensleitender Anordnung vom 6. Februar 2020 wurde der Beschwerdeführerin nachträglich umfassend Einsicht in die Aussagen der Auskunftspersonen gewährt. Hierzu liess sie sich aber nicht mehr vernehmen (siehe BVGer act. 9 und 10).</w:t>
      </w:r>
    </w:p>
    <w:p>
      <w:r>
        <w:rPr>
          <w:b/>
        </w:rPr>
        <w:t>E. 6.4</w:t>
      </w:r>
    </w:p>
    <w:p>
      <w:r>
        <w:t>Der Begriff der Erwerbstätigkeit ist weit zu fassen (vgl. etwa Urteile des BVGer F-6991/2018 vom 14. Oktober 2019 E. 5.4 oder F-1827/2018 vom 30. September 2019 E. 6.3.4). Als Erwerbstätigkeit gilt jede üblicherweise gegen Entgelt ausgeübte unselbständige oder selbständige Tätigkeit (Art. 11 Abs. 2 AIG). Eine Tätigkeit gilt dann als üblicherweise auf Entgelt gerichtet, wenn sie ihrer Art und ihrem Umfang nach auf dem schweizerischen Arbeits- und Dienstleistungsmarkt angeboten wird (vgl. Egli/Meyer, in: Handkommentar AuG, 2010, Art. 11 Rz. 6). Ohne Belang für die Qualifikation als (unselbständige) Erwerbstätigkeit ist, ob die Beschäftigung nur stunden- oder tageweise oder vorübergehend ausgeübt wird (Art. 1a Abs. 1 VZAE).</w:t>
      </w:r>
    </w:p>
    <w:p>
      <w:r>
        <w:rPr>
          <w:b/>
        </w:rPr>
        <w:t>E. 6.5</w:t>
      </w:r>
    </w:p>
    <w:p>
      <w:r>
        <w:t>Aus den Akten geht hervor, dass die Beschwerdeführerin im betreffenden Lokal während einer nicht mehr bestimmbaren Zeitspanne Getränke serviert und einkassiert hat. Die entsprechenden Schilderungen der Auskunftspersonen, die sich anlässlich der Polizeikontrolle als Gäste vor Ort aufgehalten hatten, sind detailliert, schlüssig und nachvollziehbar (siehe hierzu SEM act. 1, pag. 21/22). Die Beschwerdeführerin beschränkt sich weitgehend auf blosses Bestreiten. Ferner fällt auf, dass sie in diesem Zusammenhang versuchte, frühere Aufenthalte in der Schweiz zu verschweigen (vgl. polizeiliche Einvernahme, Antwort zu Frage 8 [SEM act. 1, pag. 8]). Soweit die Parteivertreterin ergänzend vorbringt, ihrer Mandantin könnte höchstens illegale Erwerbstätigkeit während zweier Tage (Beschwerdeschrift) bzw. an einem einzigen Abend (Replik) nachgewiesen werden, erweist sich besagte Argumentation aufgrund des Gesagten als unbehelflich (siehe E. 6.4 weiter oben). Dementsprechend berechtigt die Aktenlage zur Annahme, dass die Beschwerdeführerin zumindest einige Male als Serviceangestellte bzw. Bardame tätig gewesen ist. Den Fernhaltegrund von Art. 67 Abs. 2 Bst. a AIG hat sie indes unabhängig von der Dauer der illegalen Erwerbstätigkeit erfüllt. Die in der Replik angeregte Parteibefragung vermöchte an dieser Ausgangslage nichts zu ändern, weshalb darauf verzichtet werden kann.</w:t>
      </w:r>
    </w:p>
    <w:p>
      <w:r>
        <w:rPr>
          <w:b/>
        </w:rPr>
        <w:t>E. 6.6</w:t>
      </w:r>
    </w:p>
    <w:p>
      <w:r>
        <w:t>Des Weiteren stellt sich die Parteivertreterin auf den Standpunkt, dass bei Vorliegen von einem der in Art. 67 Abs. 1 AIG (recte: Art. 67 Abs. 2 Bst. a AIG) genannten Gründe nicht automatisch ein Einreiseverbot zu erlassen sei. Ein solches erscheine vielmehr nur bei ungünstiger Prognose gerechtfertigt. Dem ist entgegenzuhalten, dass bei der Prognosestellung naturgemäss in erster Linie auf das vergangene Verhalten der betroffenen Person abzustellen ist (vgl. Urteil des BVGer F-1503/1515/2019 vom 21. November 2019 E. 7.3 m.H.) und das Risiko einer künftigen Gefährdung der öffentlichen Sicherheit und Ordnung von Gesetzes wegen vermutet wird (siehe Botschaft, a.a.O., S. 3760). Die geltend gemachte günstige Prognose wird durch das Aussageverhalten der Beschwerdeführerin (Bestreiten der Vorwürfe trotz erdrückender Indizien, anfängliches Verschweigen früherer Anwesenheiten) ohnehin relativiert. Wohl handelt es bei Art. 67 Abs. 2 AIG um eine Kann-Bestimmung, vergleichbare Verstösse werden gemäss geltender Praxis jedoch - selbst wenn nicht wiederholt begangen - regelmässig mit Fernhaltemassnahmen geahndet.</w:t>
      </w:r>
    </w:p>
    <w:p>
      <w:r>
        <w:rPr>
          <w:b/>
        </w:rPr>
        <w:t>E. 6.7</w:t>
      </w:r>
    </w:p>
    <w:p>
      <w:r>
        <w:t>Anzumerken ist, dass bei der Anordnung eines Einreiseverbots nicht relevant ist, ob gegen die Beschwerdeführerin ein Strafverfahren hängig ist. Eine Fernhaltemassnahme kann gemäss ständiger Rechtsprechung auch dann ergehen, wenn ein rechtskräftiges Strafurteil fehlt, so weil ein Strafverfahren nicht eröffnet wurde, noch hängig ist oder eingestellt wurde. Es genügt mit anderen Worten, wenn - wie in casu - Verdachtsmomente vorliegen, die von der Behörde als hinreichend konkret erachtet werden (vgl. beispielsweise Urteile des BVGer F-6906/2018 vom 10. Dezember 2018 E. 4.3 oder F-7649/2016 vom 13. März 2018 E. 3.3).</w:t>
      </w:r>
    </w:p>
    <w:p>
      <w:r>
        <w:rPr>
          <w:b/>
        </w:rPr>
        <w:t>E. 6.8</w:t>
      </w:r>
    </w:p>
    <w:p>
      <w:r>
        <w:t>Die Voraussetzungen für den Erlass eines Einreiseverbots nach Art. 67 Abs. 2 Bst. a AIG sind somit erfüllt.</w:t>
      </w:r>
    </w:p>
    <w:p>
      <w:r>
        <w:rPr>
          <w:b/>
        </w:rPr>
        <w:t>E. 7.1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7.2</w:t>
      </w:r>
    </w:p>
    <w:p>
      <w:r>
        <w:t>Das generalpräventiv motivierte Interesse daran,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Urteile des BGer 2C_516/2014 vom 24. März 2015 E. 4.3.2 oder 2C_282/2012 vom 31. Juli 2012 E. 2.5 je m.H.). Dazu kommt eine spezialpräventive Zielsetzung der Massnahme, die Betroffene zu ermahnen, ausländerrechtliche Bestimmungen zukünftig einzuhalten und so einer weiteren Störung der öffentlichen Sicherheit und Ordnung entgegenzuwirken (vgl. F-1827/2018 E. 7.1). Mit ihrem Verhalten hat die Beschwerdeführerin nach dem bisher Gesagten gegen die öffentliche Sicherheit und Ordnung verstossen bzw. unter diesen Oberbegriff fallende Rechtsgüter gefährdet. Damit besteht ein gewichtiges öffentliches Interesse an einer befristeten Fernhaltung der Beschwerdeführerin.</w:t>
      </w:r>
    </w:p>
    <w:p>
      <w:r>
        <w:rPr>
          <w:b/>
        </w:rPr>
        <w:t>E. 7.3</w:t>
      </w:r>
    </w:p>
    <w:p>
      <w:r>
        <w:t>Den öffentlichen Interessen sind die privaten Interessen der Beschwerdeführerin gegenüber zu stellen. Diese bestehen in der Aufrechterhaltung und Pflege der Kontakte zu ihrem hierzulande ansässigen Freund. Näheres zu dieser Beziehung ist nicht bekannt. Die privaten Interessen vermögen jedoch weder eine Aufhebung noch eine Verkürzung des Einreiseverbots zu rechtfertigen. Die vorübergehende Einschränkung in der Pflege von Kontakten zum in der Schweiz ansässigen Freund hat die Beschwerdeführerin selbst zu verantworten und grundsätzlich in Kauf zu nehmen. Diese Einschränkung ist insoweit nicht erheblich, als Kontakte für limitierte Zeit auch anders als durch Einreisen der Beschwerdeführerin in die Schweiz (z.B. mittels moderner Kommunikationsmittel wie Facetime, WhatsApp, Facebook oder durch Treffen ausserhalb des Schengengebiets) zu verwirklichen sind. In unumgänglichen Fällen stünde auch das Instrument der vorübergehenden Suspension (vgl. Art. 67 Abs. 5 AIG, BVGE 2013/4 E. 7.4.3 m.H.) zur Verfügung. Das SEM hat in der Vernehmlassung bereits auf diese Möglichkeit hingewiesen. Bei dieser Sachlage fällt auch eine blosse Verwarnung (Art. 96 Abs. 2 AIG) ausser Betracht.</w:t>
      </w:r>
    </w:p>
    <w:p>
      <w:r>
        <w:rPr>
          <w:b/>
        </w:rPr>
        <w:t>E. 7.4</w:t>
      </w:r>
    </w:p>
    <w:p>
      <w:r>
        <w:t>Eine wertende Gewichtung der sich gegenüberstehenden Interessen führt das Bundesverwaltungsgericht zum Ergebnis, dass das auf zwei Jahre befristete Einreiseverbot dem Grundsatz nach und in Bezug auf seine Dauer eine verhältnismässige und angemessene Massnahme zum Schutz der öffentlichen Sicherheit und Ordnung darstellt. Nicht zu beanstanden ist schliesslich, dass der Beschwerdeführerin die Einreise in das Hoheitsgebiet sämtlicher Schengen-Staaten verboten wurde. Es bleibt den Schengen-Staaten unbenommen, der Beschwerdeführerin bei Vorliegen besonderer Gründe die Einreise in ihr Hoheitsgebiet zu gestatten (vgl. E. 5.3 hiervor).</w:t>
      </w:r>
    </w:p>
    <w:p>
      <w:r>
        <w:rPr>
          <w:b/>
        </w:rPr>
        <w:t>E. 8</w:t>
      </w:r>
    </w:p>
    <w:p>
      <w:r>
        <w:t>Aus diesen Erwägungen ergibt sich, dass die angefochtene Verfügung im Lichte von Art. 49 VwVG nicht zu beanstanden ist. Die Beschwerde ist somit abzuweisen.</w:t>
      </w:r>
    </w:p>
    <w:p>
      <w:r>
        <w:rPr>
          <w:b/>
        </w:rPr>
        <w:t>E. 9</w:t>
      </w:r>
    </w:p>
    <w:p>
      <w:r>
        <w:t>Entsprechend dem Ausgang des Verfahrens sind die Kosten der Beschwerdeführerin aufzuerlegen (vgl. Art. 63 Abs. 1 VwVG i.V.m. Art. 1 ff.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