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F-6703/2017 vom 18. Juni 2018</w:t>
      </w:r>
    </w:p>
    <w:p>
      <w:r>
        <w:t>Bundesverwaltungsgericht, 2018-06-18, DE</w:t>
      </w:r>
    </w:p>
    <w:p>
      <w:r>
        <w:rPr>
          <w:b/>
        </w:rPr>
        <w:t xml:space="preserve">Quelle: </w:t>
      </w:r>
      <w:r>
        <w:t>https://mcp.opencaselaw.ch/entscheid/bvger_F-6703_2017</w:t>
      </w:r>
    </w:p>
    <w:p>
      <w:r>
        <w:t>FR: TAF F-6703/2017 du 18 juin 2018</w:t>
      </w:r>
    </w:p>
    <w:p>
      <w:r>
        <w:t>IT: TAF F-6703/2017 del 18 giugno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Eine Ausnahme nach Art. 32 VGG liegt nicht vor.</w:t>
      </w:r>
    </w:p>
    <w:p>
      <w:r>
        <w:rPr>
          <w:b/>
        </w:rPr>
        <w:t>E. 1.2</w:t>
      </w:r>
    </w:p>
    <w:p>
      <w:r>
        <w:t>Das Rechtsmittelverfahren richtet sich nach dem VwVG, soweit das VGG nichts anderes bestimmt (Art. 37 VGG).</w:t>
      </w:r>
    </w:p>
    <w:p>
      <w:r>
        <w:rPr>
          <w:b/>
        </w:rPr>
        <w:t>E. 1.3</w:t>
      </w:r>
    </w:p>
    <w:p>
      <w:r>
        <w:t>Die Beschwerdeführenden sind als Verfügungsadressaten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Gemäss Art. 33a Abs. 1 VwVG werden Verfahren in einer der vier Amtssprachen geführt, in der Regel in der Sprache, in welcher die Parteien ihre Begehren gestellt haben oder stellen würden. Im Beschwerdeverfahren ist die Sprache des angefochtenen Entscheids massgebend (Art. 33a Abs. 2 Satz 1 VwVG). Verwenden die Parteien eine andere Amtssprache, so kann das Verfahren in dieser Sprache geführt werden (Art. 33a Abs. 2 Satz 2 VwVG). Der vorliegend angefochtene Entscheid wurde in deutscher Sprache redigiert, während das dagegen erhobene Rechtsmittel französisch abgefasst ist. Da die Beschwerdeführenden nicht dartun, einen deutschsprachigen Entscheid nicht verstehen zu können und sie im vorinstanzlichen Verfahren auch Eingaben in deutscher Sprache eingereicht hatten (beispielsweise die Einsprache vom 23. September 2017 oder die Stellungnahme vom 3. November 2017), besteht kein Anlass, von der Regel von Art. 33a Abs. 2 Satz 1 VwVG abzuweichen.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Der angefochtenen Verfügung liegt das Gesuch einer Staatsangehörigen aus Guinea um Erteilung eines Visums für einen dreimonatigen Besuchsaufenthalt in der Schweiz zugrunde. Da die Gesuchstellerin sich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Stämpflis Handkommentar zum Bundesgesetz über die Ausländerinnen und Ausländer, Bern 2010, Art. 5 N. 3 f.).</w:t>
      </w:r>
    </w:p>
    <w:p>
      <w:r>
        <w:rPr>
          <w:b/>
        </w:rPr>
        <w:t>E. 5.2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5.3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Ausserdem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Staatszugehörigkeit unterliegt die Gesuchstellerin der Visumspflicht (vgl. Anhang I der oben in E. 5.2 erstzitierten Verordnung). Bei der Prüfung der Einreisevoraussetzungen nach Art. 6 Abs. 1 SGK ist die Frage der gesicherten Wiederausreise zentral. Eine solche erachtet die Vorinstanz aufgrund der allgemeinen Situation im Heimatland sowie der persönlichen Verhältnisse der Gesuchstellerin als nicht genügend gewährleistet. Zur Einschätzung entsprechender Risiken sind sämtliche Umstände des konkreten Einzelfalles zu würdigen.</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6.3</w:t>
      </w:r>
    </w:p>
    <w:p>
      <w:r>
        <w:t>Guinea gehört trotz grosser natürlicher Ressourcen (grösste Bauxitvorkommen der Welt, reiche Vorkommen an Eisenerz, Nickel, Gold, Diamanten und Wasserkraft, erhebliches landwirtschaftliches Anbaupotenzial) zu den ärmsten Ländern der Welt. Seit 2010 geht die Politik unter der Regierung von Präsident Alpha Condé den Weg einer verstärkten Investition in die Infrastruktur und der Suche nach internationalen Partnern. Das Werben um ausländische Investoren wird, vor allem im Bergbaubereich, durch sinkende bzw. verfallende Rohstoffpreise und die schlechte verkehrsmässige Erschliessung gebremst. Defizite des Rechtsstaates, schwache staatliche Strukturen sowie unzureichende Ausbildungssysteme erschweren die Investitionsbedingungen zusätzlich. Hinzu kam in den Jahren 2014 und 2015 die im Lande ausgebrochene Ebola-Epidemie, die einen breiten wirtschaftlichen Aufschwung behinderte. Trotz aller Anstrengungen der Regierung wird das Wirtschaftsleben nach wie vor von schlechter Regierungsführung, Vetternwirtschaft und unvermindert hoher Korruption geprägt, was ein schwieriges Investitionsklima und mangelhafte Rahmenbedingungen zur Folge hat. Wohl hat sich in den Jahren 2016 und 2017 eine gewisse Erholung eingestellt, im Transparency Interational Corruption Perception Index 2017 nimmt Guinea von 180 Staaten indes lediglich den 148. Platz ein; im Doing-Business-Ranking 2017 der Weltbank figuriert das Land unter 190 Staaten auf dem 153. Rang. Darüber hinaus führen Arbeitskämpfe und politische Konflikte immer wieder zu gewaltsamen Auseinandersetzungen. Eine rasche Verschlechterung der Sicherheitslage erscheint denn jederzeit möglich (vgl. Deutsches Auswärtiges Amt, &lt; http://www.auswaertiges-amt.de &gt; Aussen- und Europapolitik &gt; Länderinformationen &gt; Guinea &gt; Wirtschaft [Stand: Februar 2018]; www.eda.admin.ch &gt; Vertretungen und Reisehinweise &gt; Guinea &gt; Reisehinweise, Stand: 26. Februar 2018, beide Webseiten besucht Ende Mai 2018).</w:t>
      </w:r>
    </w:p>
    <w:p>
      <w:r>
        <w:rPr>
          <w:b/>
        </w:rPr>
        <w:t>E. 6.4</w:t>
      </w:r>
    </w:p>
    <w:p>
      <w:r>
        <w:t>Vor diesem Hintergrund und unter Berücksichtigung, dass die Bereitschaft, das Heimatland zu verlassen, erfahrungsgemäss dort begünstigt wird, wo bereits Verwandte im Ausland leben, ist nicht zu beanstanden, dass die Vorinstanz das Risiko einer nicht fristgerechten Wiederausreise in Bezug auf das Land als solches als grundsätzlich hoch einschätzte.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Namentlich familiäre, gesellschaftliche oder berufliche Verpflichtungen können die Prognose für eine anstandslose Wiederausreise in dem Sinne begünstigen.</w:t>
      </w:r>
    </w:p>
    <w:p>
      <w:r>
        <w:rPr>
          <w:b/>
        </w:rPr>
        <w:t>E. 7.1</w:t>
      </w:r>
    </w:p>
    <w:p>
      <w:r>
        <w:t>Die angefochtene Verfügung betrifft nicht die Kernfamilie. Bei der Gesuchstellerin handelt es sich um eine mittlerweile 28 ½-jährige, verheiratete und kinderlose Frau. Hinsichtlich ihrer persönlichen Lebensumstände im Heimatland ist lediglich bekannt, dass sie mit ihrem Mann in der Hauptstadt Conakry wohnt. Laut Angaben des Beschwerdeführers ist die eingeladene Person seine Tante. Daneben gebe es einzig einen Bruder, der ebenfalls in Guinea lebe (siehe Einsprache [SEM act. 1, pag. 7] oder Stellungnahme vom 3. November 2017 [Beschwerdebeilage bzw. Sachverhalt Bst. D vorstehend]). Irgendwelche Indizien für das Bestehen eines besonderen Betreuungsbedarfs, der nur durch die Gesuchstellerin selbst abgedeckt werden könnte, sind insoweit keine erkennbar. Es kann also davon ausgegangen werden, dass im persönlichen und familiären Umfeld der Eingeladenen keine über das Übliche hinausgehende Verpflichtungen oder gar Abhängigkeiten vorhanden sind, die besondere Gewähr für eine Rückkehr ins Heimatland bieten könnten; dies umso weniger, wenn man mit in Betracht zieht, dass gleich ein dreimonatiger Besuchsaufenthalt angestrebt wird, was von einiger Ungebundenheit zeugt. Im dargelegten Kontext lässt ihre eheliche Beziehung das Risiko einer nicht anstandslosen Wiederausreise nicht per se entfallen. Zu Recht gibt das SEM in diesem Zusammenhang zu bedenken, dass zurückbleibende nahe Angehörige im Ausland eingeladene Personen häufig nicht daran hindern, den Entschluss zur Emigration zu fassen; dies etwa in der Hoffnung, den oder die Zurückgebliebenen aus dem Ausland wirtschaftlich effizienter zu unterstützen oder später nachziehen zu können. Angesichts dessen erscheint die Gefahr einer nicht fristgerechten Rückkehr derzeit nicht in hinreichendem Masse gebannt.</w:t>
      </w:r>
    </w:p>
    <w:p>
      <w:r>
        <w:rPr>
          <w:b/>
        </w:rPr>
        <w:t>E. 7.2</w:t>
      </w:r>
    </w:p>
    <w:p>
      <w:r>
        <w:t>Was die wirtschaftlichen Verhältnisse anbelangt, steht aufgrund der Akten sodann fest, dass es auf Seiten der eingeladenen Person in beruflicher Hinsicht an starken Bindungen fehlt. Gemäss der eingereichten Arbeitsbestätigung der "Direction Nationale de l'Enfance" hat sie als Praktikantin für Sozialarbeit gearbeitet (SEM act. 2, pag. 13). Die mit einem unleserlichen Stempel versehene Arbeitsbestätigung ist weder datiert, noch vermittelt dieses Beweismittel Auskunft darüber, ab wann und wie lange sie besagte Tätigkeit ausübte (SEM act. 2, pag. 13); der Gesuchstellerin zufolge war dies ab 2014 der Fall (siehe "Questions additionnelles pour la demande de visa de visite" vom 13. September 2017, unter SEM act. 2, pag. 26/27). In den bereits erwähnten Erläuterungen vom 3. November 2017 ist diesbezüglich einzig davon die Rede, dass die Gesuchstellerin eine entsprechende Arbeitsstelle innehabe und auf sie dort nach dem Besuchsaufenthalt eine Praktikumsstelle warte. Eine entsprechende Bestätigung fehlt. In den Akten findet sich ausserdem eine Bestätigung von "Terres des hommes" über eine vom 28. bis 30. Oktober 2015 in Conakry besuchte Ausbildungsveranstaltung (SEM act. 2, pag. 12). Nach wie vor nichts bekannt ist hingegen über die mit der Erwerbstätigkeit erzielten Einkünfte. Auch aus dem Bankauszug vom 7. September 2017 (SEM act. 2, pag. 10/11) geht nicht hervor, wieviel die Gesuchstellerin als Praktikantin verdiente. Wohl weist das fragliche Konto einen Saldo von umgerechnet Fr. 5'600.- aus. Zuvor hatte sich der Kontostand allerdings auf deutlich tieferem Niveau bewegt (bis zum 7. August 2017 auf weniger als einem Drittel jenes Betrages). Woher die zeitnah zur Einreichung des Gesuches um Erteilung eines Schengen-Visums eingegangenen Gutschriften stammen und was der Grund für die Überweisungen war, wird nicht erkennbar. Wie angetönt, scheint die ausgeübte Tätigkeit überdies problemlos eine mehrmonatige Landesabwesenheit zuzulassen. Auch die Einkommenssituation präsentiert sich mithin nicht dergestalt, dass sie das Risiko einer nicht anstandslosen Wiederausreise zu mildern vermöchte.</w:t>
      </w:r>
    </w:p>
    <w:p>
      <w:r>
        <w:rPr>
          <w:b/>
        </w:rPr>
        <w:t>E. 7.3</w:t>
      </w:r>
    </w:p>
    <w:p>
      <w:r>
        <w:t>Soweit die Gastgeberin in der Einsprache und ihren Erläuterungen vom 3. November 2017 einwendet, als Schweizer Bürgerin habe sie das Recht, ihre Familie einzuladen, gilt es nochmals hervorzuheben, dass bei ausländischen Besucherinnen und Besuchern weder die einschlägigen nationalen noch die internationalen Normen einen solchen Anspruch vermitteln (vgl. E. 4.1 - 4.5 hiervor). Bei der Gesuchsprüfung in Visumsverfahren ist es vielmehr zulässig, Aspekte wie die Nationalität von Gesuchstellenden und deren familiäre, soziale und wirtschaftliche Situation miteinzubeziehen. Nicht ersichtlich wird schliesslich, inwiefern die Existenz eines Rückübernahme- bzw. Migrationsabkommens der Schweiz mit Guinea eine fristgerechte Wiederausreise des Gastes begünstigten sollte.</w:t>
      </w:r>
    </w:p>
    <w:p>
      <w:r>
        <w:rPr>
          <w:b/>
        </w:rPr>
        <w:t>E. 7.4</w:t>
      </w:r>
    </w:p>
    <w:p>
      <w:r>
        <w:t>Insgesamt ergibt sich kein umfassendes Bild der persönlichen, beruflichen und wirtschaftlichen Situation der Gesuchstellerin in Guinea. Nebst den erläuterten Vorbehalten nicht ausser Acht zu lassen gilt es überdies die von der Schweizer Botschaft in Abidjan geäusserten Zweifel, denen in Verfahren wie dem vorliegenden erhebliches Gewicht zukommt, ist die Vertretung vor Ort doch am besten mit den lokalen Gegebenheiten vertraut.</w:t>
      </w:r>
    </w:p>
    <w:p>
      <w:r>
        <w:rPr>
          <w:b/>
        </w:rPr>
        <w:t>E. 7.5</w:t>
      </w:r>
    </w:p>
    <w:p>
      <w:r>
        <w:t>Vor dem dargelegten allgemeinen und persönlichen Hintergrund durfte die Vorinstanz davon ausgehen, dass keine hinreichende Gewähr für eine fristgerechte und anstandslose Wiederausreise der Gesuchstellerin nach einem Besuchsaufenthalt besteht. An den guten Absichten und der Integrität der Beschwerdeführenden ist hierbei sicherlich nicht zu zweifeln. Zugleich gilt es zu bedenken, dass sie in ihrer Eigenschaft als Gastgeber zwar für gewisse finanzielle Risiken (Lebenshaltungskosten während des Besuchsaufenthalts, allfällige nicht von einer Versicherung gedeckte Kosten für Unfall und Krankheit sowie Repatriierung) Garantie leisten können, nicht aber - mangels rechtlicher und faktischer Durchsetzbarkeit - für ein bestimmtes Verhalten des Gastes (vgl. BVGE 2014/1 E. 6.3.7 und BVGE 2009/27 E. 9 je m.H.).</w:t>
      </w:r>
    </w:p>
    <w:p>
      <w:r>
        <w:rPr>
          <w:b/>
        </w:rPr>
        <w:t>E. 7.6</w:t>
      </w:r>
    </w:p>
    <w:p>
      <w:r>
        <w:t>Aufgrund des Gesagten kann ein Visum für den gesamten Schengen-Raum nicht erteilt werden. Der an sich verständliche Wunsch der Gesuchstellerin, ihren Neffen und dessen Ehefrau in der Schweiz zu besuchen und bei dieser Gelegenheit auch ihre Grossnichte kennenzulernen, hat demnach - einstweilen - in den Hintergrund zu treten. Aufgrund der vorgenommenen Beurteilung bleibt es den Betroffenen unbenommen und zumutbar, sich vorderhand im Ausland zu treffen. Die Beschwerdeführenden machen sodann keine - z.B. humanitären - Gründe für die Erteilung eines Visums mit räumlich beschränkter Gültigkeit geltend; solche Gründe sind auch aus den Akten nicht ersichtlich (vgl. E. 5.5).</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sind die Kosten den Beschwerdeführenden aufzuerlegen (vgl. Art. 63 Abs. 1 VwVG i.V.m. Art. 1 ff.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