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F-6695/2019 vom 20. Dezember 2019</w:t>
      </w:r>
    </w:p>
    <w:p>
      <w:r>
        <w:t>Bundesverwaltungsgericht, 2019-12-20, DE</w:t>
      </w:r>
    </w:p>
    <w:p>
      <w:r>
        <w:rPr>
          <w:b/>
        </w:rPr>
        <w:t xml:space="preserve">Quelle: </w:t>
      </w:r>
      <w:r>
        <w:t>https://mcp.opencaselaw.ch/entscheid/bvger_F-6695_2019</w:t>
      </w:r>
    </w:p>
    <w:p>
      <w:r>
        <w:t>FR: TAF F-6695/2019 du 20 décembre 2019</w:t>
      </w:r>
    </w:p>
    <w:p>
      <w:r>
        <w:t>IT: TAF F-6695/2019 del 20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VwVG). Als Verfügungsadressat ist der Beschwerdeführer ist zur Einreichung der Beschwerde legitimiert (Art. 48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Zum Bundesrecht gehören auch Normen des Völkerrechts, soweit diese direkt anwendbar sind (vgl. Benjamin Schindler, in: Kommentar zum Bundesgesetz über das Verwaltungsverfahren [VwVG], 2. Aufl. 2019, Rz. 25 zu Art. 49 m.H.). Gemäss Art. 62 Abs. 4 VwVG ist das Bundesverwaltungsgericht nicht an die Begründung der Begehren gebunden.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8 - 15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5.1</w:t>
      </w:r>
    </w:p>
    <w:p>
      <w:r>
        <w:t>Den vorliegenden Akten ist zu entnehmen, dass der Beschwerdeführer mit einem von den polnischen Behörden ausgestellten Schengen-Visum nach Polen eingereist ist. Allerdings haben die polnischen Behörden offenbar in Vertretung von Estland gehandelt (vgl. Akten SEM 6).</w:t>
      </w:r>
    </w:p>
    <w:p>
      <w:r>
        <w:rPr>
          <w:b/>
        </w:rPr>
        <w:t>E. 5.2</w:t>
      </w:r>
    </w:p>
    <w:p>
      <w:r>
        <w:t>Gestützt auf Art. 2 Abs. 1 Dublin-III-VO ist das Verfahren zur Bestimmung des für die Behandlung auf internationalen Schutz zuständigen Staates von der Schweiz durchzuführen, weil der Beschwerdeführer hier erstmals einen Antrag auf internationalen Schutz gestellt hat. Von den Zuständigkeitskriterien der Art. 8 - 15 Dublin-III-VO kommt Art. 12 Dublin-III-VO zur Anwendung. Gemäss Art. 12 Abs. 2 Dublin-III-VO in Verbindung mit Art. 12 Abs. 4 Dublin-III-VO ist derjenige Staat für die Behandlung des Antrags auf internationalen Schutz zuständig, der das Visum, das noch nicht länger als 6 Monate abgelaufen ist, ausgestellt hat. Wurde das Visum jedoch gestützt auf eine Vertretungsvereinbarung gemäss Art. 8 der Verordnung (EG) Nr. 810/2009 des Europäischen Parlaments und des Rates vom 13. Juli 2009 über einen Visakodex der Gemeinschaft (Visakodex; ABl. L 243/1 vom 15.09.2009) ausgestellt, so ist der vertretene Mitgliedstaat für die Prüfung des Antrags zuständig (vgl. Art. 12 Abs. 2 Satz 2 Dublin-III-VO; Filzwieser/Sprung, Dublin III-Verordnung, 2014, K8 zu Art. 12).</w:t>
      </w:r>
    </w:p>
    <w:p>
      <w:r>
        <w:rPr>
          <w:b/>
        </w:rPr>
        <w:t>E. 5.3</w:t>
      </w:r>
    </w:p>
    <w:p>
      <w:r>
        <w:t>Indem das SEM das Übernahmeersuchen an Polen und nicht an Estland gestellt hat, hat es die Zuständigkeitskriterien der Dublin-III-VO nicht richtig angewendet. Dass Polen dem Übernahmeersuchen ausdrücklich zugestimmt hat (Akten SEM 29) vermag seine Zuständigkeit nicht zu begründen.</w:t>
      </w:r>
    </w:p>
    <w:p>
      <w:r>
        <w:rPr>
          <w:b/>
        </w:rPr>
        <w:t>E. 6.1</w:t>
      </w:r>
    </w:p>
    <w:p>
      <w:r>
        <w:t>Gemäss Art. 61 Abs. 1 VwVG entscheidet die Beschwerdeinstanz in der Sache selbst oder weist diese ausnahmsweise mit verbindlichen Weisungen an die Vorinstanz zurück.</w:t>
      </w:r>
    </w:p>
    <w:p>
      <w:r>
        <w:rPr>
          <w:b/>
        </w:rPr>
        <w:t>E. 6.2</w:t>
      </w:r>
    </w:p>
    <w:p>
      <w:r>
        <w:t>Im vorliegenden Fall hat das SEM den Beschwerdeführer im Rahmen des rechtlichen Gehörs lediglich nach allfälligen Gründen gefragt, die gegen eine Überstellung nach Polen sprechen könnten (Akten SEM 12). Aus diesem Grund kommt kein reformatorischer Entscheid in Frage. Vielmehr hat das SEM dem Beschwerdeführer das rechtliche Gehör zu einer allfälligen Überstellung nach Estland zu gewähren und gegebenenfalls Estland um die Übernahme des Beschwerdeführers zu ersuchen, sofern die Fristen nach Art. 21 Dublin-III-VO dies noch zulassen. Anschliessend hat das SEM einen neuen Entscheid zu fällen.</w:t>
      </w:r>
    </w:p>
    <w:p>
      <w:r>
        <w:rPr>
          <w:b/>
        </w:rPr>
        <w:t>E. 7</w:t>
      </w:r>
    </w:p>
    <w:p>
      <w:r>
        <w:t>Die Beschwerde ist demzufolge gutzuheissen, die angefochtene Verfügung vom 5. Dezember 2019 aufzuheben und die Sache im Sinne der obigen Ausführungen an das SEM zurückzuweisen.</w:t>
      </w:r>
    </w:p>
    <w:p>
      <w:r>
        <w:rPr>
          <w:b/>
        </w:rPr>
        <w:t>E. 8</w:t>
      </w:r>
    </w:p>
    <w:p>
      <w:r>
        <w:t>Bei diesem Ausgang des Verfahrens sind keine Verfahrenskosten aufzuerlegen (Art. 63 Abs. 1 und 2 VwVG). Dem nicht vertretenen Beschwerdeführer ist keine Parteientschädigung zuzusprechen (vgl. Art. 64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