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F-6679/2025 vom 15. Oktober 2025</w:t>
      </w:r>
    </w:p>
    <w:p>
      <w:r>
        <w:t>Bundesverwaltungsgericht, 2025-10-15, DE</w:t>
      </w:r>
    </w:p>
    <w:p>
      <w:r>
        <w:rPr>
          <w:b/>
        </w:rPr>
        <w:t xml:space="preserve">Quelle: </w:t>
      </w:r>
      <w:r>
        <w:t>https://mcp.opencaselaw.ch/entscheid/bvger_F-6679_2025</w:t>
      </w:r>
    </w:p>
    <w:p>
      <w:r>
        <w:t>FR: TAF F-6679/2025 du 15 octobre 2025</w:t>
      </w:r>
    </w:p>
    <w:p>
      <w:r>
        <w:t>IT: TAF F-6679/2025 del 15 ottobre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w:t>
      </w:r>
    </w:p>
    <w:p>
      <w:r>
        <w:t>F-6679/2025 Seite 3 eingereicht (Art. 108 Abs. 1 AsylG; Art. 52 Abs. 1 VwVG); auf diese ist ein- zutreten.</w:t>
      </w:r>
    </w:p>
    <w:p>
      <w:r>
        <w:rPr>
          <w:b/>
        </w:rPr>
        <w:t>E. 1.4</w:t>
      </w:r>
    </w:p>
    <w:p>
      <w:r>
        <w:t>Die Beschwerde erweist sich als offensichtlich begründet, weshalb sie im Verfahren einzelrichterlicher Zuständigkeit mit Zustimmung einer zwei- ten Richterin beziehungsweise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nach der derzeit gültigen Rechtsprechung nicht anwendbar. Diese können eine Verletzung von Art. 26 des Abkommens vom 28. Juli 1951 über die Rechtsstellung der Flüchtlinge (FK, SR 0.142.30) und von Art. 37 AIG (SR 142.20), welche den Wechsel des Wohnorts in einen an- deren Kanton für ausländische Personen regelt, vor dem Bundesverwal- 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sowie Art. 58 und Art. 60 AsylG; BVGE 2012/2 E. 3.2.2). Art. 26 FK zielt darauf ab, die Einschränkungen der freien Wahl des Aufenthaltsortes und der Bewe- gungsfreiheit für Flüchtlinge auf ein Minimum zu beschränken. Zulässig sind nur einschränkende Bestimmungen, welche für sämtliche Kategorien von ausländischen Personen gelten. Abzustellen ist auf diejenigen Ein- schränkungen, welche auf ausländische Personen mit einer Niederlas- sungsbewilligung anwendbar sind. Nach ständiger Rechtsprechung be- gründet Art. 26 FK für Flüchtlinge einen Anspruch auf Kantonszuweisung beziehungsweise -wechsel im gleichen Umfang, wie er einer niedergelas- senen Person gestützt auf Art. 37 Abs. 3 AIG zusteht. Nach Massgabe die- ser Bestimmung besteht ein Anspruch auf Kantonswechsel, sofern nicht Widerrufsgründe nach Art. 63 AIG vorliegen und sich eine darauf gestützte Verweigerung als verhältnismässig erweist (vgl. BVGE 2012/2 E. 5.2.2 so- wie statt vieler zuletzt Urteile des BVGer F-5343/2025 vom 23. Juli 2025 E. 2.2; F-4127/2025 vom 14. Juli 2025 E. 2.2; F-2933/2025 vom 7. Mai 2025 E. 2.4; F-1334/2025 vom 13. März 2025 E. 2.2; jeweils m.w.H.).</w:t>
      </w:r>
    </w:p>
    <w:p>
      <w:r>
        <w:t>F-6679/2025 Seite 4</w:t>
      </w:r>
    </w:p>
    <w:p>
      <w:r>
        <w:rPr>
          <w:b/>
        </w:rPr>
        <w:t>E. 3</w:t>
      </w:r>
    </w:p>
    <w:p>
      <w:r>
        <w:t>Mit der angefochtenen Verfügung hat die Vorinstanz die Beschwerdeführe- rin als Flüchtling anerkannt und ihr Asyl gewährt. Art. 27 Abs. 3 AsylG ist damit auf die Beschwerdeführerin nicht anwendbar. Als anerkannter Flüchtling mit Asyl hat sie grundsätzlich Anspruch auf freie Wahl des Kan- tons, in dem sie sich niederlassen möchte. Vorbehalten bleibt das Vorlie- gen von Widerrufsgründen nach Art. 63 AIG. Indem die Vorinstanz den- noch Art. 27 Abs. 3 AsylG auf die Kantonszuweisung der Beschwerdefüh- rerin anwandte, hat sie Bundesrecht verletzt (Art. 49 Bst. a VwVG). Aus- serdem hat sie nicht geprüft, ob der Zuweisung der Beschwerdeführerin an den Kanton C._______ Widerrufsgründe im Sinn von Art. 63 AIG entge- genstehen. Insofern erweist sich der rechtserhebliche Sachverhalt als un- vollständig abgeklärt und der Untersuchungsgrundsatz ist verletzt (Art. 6 AsylG i.V.m. Art. 12 VwVG, Art. 49 Bst. b VwVG; vgl. zuletzt Urteile des BVGer F-4373/2025 E. 3; F-5343/2025 E. 3; F-3294/2025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Dispositivziffern 3 und 4 der ange- fochtenen Verfügung sind aufzuheben und die Sache zur vollständigen Sachverhaltsabklärung im Sinne der Erwägungen sowie zur neuen Ent- scheidung an die Vorinstanz zurückzuweisen. Diese wird insbesondere ab- zuklären haben, ob einer Zuweisung der Beschwerdeführerin in Anbetracht von Art. 60 AsylG in den Kanton C._______ Widerrufsgründe im Sinne von Art. 63 AIG entgegenstehen und, falls ja, ob sich eine darauf gestützte Ver- weigerung als verhältnismässig erweist.</w:t>
      </w:r>
    </w:p>
    <w:p>
      <w:r>
        <w:t>F-6679/2025 Seite 5</w:t>
      </w:r>
    </w:p>
    <w:p>
      <w:r>
        <w:rPr>
          <w:b/>
        </w:rPr>
        <w:t>E. 6.1</w:t>
      </w:r>
    </w:p>
    <w:p>
      <w:r>
        <w:t>Bei diesem Verfahrensausgang sind keine Kosten zu erheben (Art. 63 Abs. 1 und 2 VwVG). Das Gesuch um unentgeltliche Rechtspflege unter Verzicht auf die Erhebung eines Kostenvorschusses ist mit dem vorliegen- den Entscheid in der Sache gegenstandslos geworden.</w:t>
      </w:r>
    </w:p>
    <w:p>
      <w:r>
        <w:rPr>
          <w:b/>
        </w:rPr>
        <w:t>E. 6.2</w:t>
      </w:r>
    </w:p>
    <w:p>
      <w:r>
        <w:t>Vorliegend handelt es sich um eine zugewiesene unentgeltliche Rechtsvertretung im Sinne von Art. 102h AsylG, deren Leistungen vom Bund nach Massgabe von Art. 102k AsylG entschädigt werden (vgl. auch Art. 111ater AsylG). Die Leistungen der Rechtsvertretung sind damit durch die vom Bund ausgerichtete Pauschale abgegolten (vgl. zuletzt einlässlich Urteile des BVGer F-5343/2025 E. 6.2, F-4119/2025 vom 14. Juli 2025 E. 6.2; F-4127/2025 vom 14. Juli 2025 E. 6.2). Folglich ist keine Parteient- schädigung zuzusprechen.</w:t>
      </w:r>
    </w:p>
    <w:p>
      <w:r>
        <w:t>(Dispositiv nächste Seite)</w:t>
      </w:r>
    </w:p>
    <w:p>
      <w:r>
        <w:t>F-6679/2025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