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F-6667/2017 vom 11. April 2019</w:t>
      </w:r>
    </w:p>
    <w:p>
      <w:r>
        <w:t>Bundesverwaltungsgericht, 2019-04-11, FR</w:t>
      </w:r>
    </w:p>
    <w:p>
      <w:r>
        <w:rPr>
          <w:b/>
        </w:rPr>
        <w:t xml:space="preserve">Quelle: </w:t>
      </w:r>
      <w:r>
        <w:t>https://mcp.opencaselaw.ch/entscheid/bvger_F-6667_2017</w:t>
      </w:r>
    </w:p>
    <w:p>
      <w:r>
        <w:t>FR: TAF F-6667/2017 du 11 avril 2019</w:t>
      </w:r>
    </w:p>
    <w:p>
      <w:r>
        <w:t>IT: TAF F-6667/2017 del 11 aprile 2019</w:t>
      </w:r>
    </w:p>
    <w:p>
      <w:pPr>
        <w:pStyle w:val="Heading2"/>
      </w:pPr>
      <w:r>
        <w:t>Regeste</w:t>
      </w:r>
    </w:p>
    <w:p>
      <w:r>
        <w:t>Einreiseverbot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Vom SEM erlassene Einreiseverbote sind mit Beschwerde beim Bundesverwaltungsgericht anfechtbar (Art. 31 ff. VGG i.V.m. Art. 5 VwVG).</w:t>
      </w:r>
    </w:p>
    <w:p>
      <w:r>
        <w:rPr>
          <w:b/>
        </w:rPr>
        <w:t>E. 1.2</w:t>
      </w:r>
    </w:p>
    <w:p>
      <w:r>
        <w:t>Das Rechtsmittelverfahren vor dem Bundesverwaltungsgericht richtet sich nach dem Verwaltungsverfahrensgesetz, soweit das Verwaltungsgerichtsgesetz nichts anderes bestimmt (Art. 37 VGG).</w:t>
      </w:r>
    </w:p>
    <w:p>
      <w:r>
        <w:rPr>
          <w:b/>
        </w:rPr>
        <w:t>E. 1.3</w:t>
      </w:r>
    </w:p>
    <w:p>
      <w:r>
        <w:t>Der BeschwerdefÃ¼hrer ist als VerfÃ¼gungsadressat zur Beschwerde legitimiert (Art. 48 Abs. 1 VwVG). Auf die frist- und formgerecht eingereichte Beschwerde ist einzutreten (Art. 50 und 52 VwVG). Ãœber sie entscheidet das Bundesverwaltungsgericht endgÃ¼ltig (Art. 83 Bst. c Ziff. 1 BGG).</w:t>
      </w:r>
    </w:p>
    <w:p>
      <w:r>
        <w:rPr>
          <w:b/>
        </w:rPr>
        <w:t>E. 2</w:t>
      </w:r>
    </w:p>
    <w:p>
      <w:r>
        <w:t>Mit Beschwerde an das Bundesverwaltungsgericht kann die Verletzung von Bundesrecht einschliesslich Ãœberschreitung oder Missbrauch des Ermessens, die unrichtige oder unvollstÃ¤ndige Feststellung des rechtserheblichen Sachverhaltes sowie - soweit nicht eine kantonale BehÃ¶rde als Beschwerdeinstanz verfÃ¼gt hat - die Unangemessenheit gerÃ¼gt werden (Art. 49 VwVG). Das Bundesverwaltungsgericht wendet das Bundesrecht von Amtes wegen an. Es ist gemÃ¤ss Art. 62 Abs. 4 VwVG an die BegrÃ¼ndung der Begehren nicht gebunden und kann die Beschwerde auch aus anderen als den geltend gemachten GrÃ¼nden gutheissen oder abweisen. Massgebend ist grundsÃ¤tzlich die Sachlage zum Zeitpunkt seines Entscheides (vgl. BVGE 2014/1 E. 2 mit Hinweisen).</w:t>
      </w:r>
    </w:p>
    <w:p>
      <w:r>
        <w:rPr>
          <w:b/>
        </w:rPr>
        <w:t>E. 3.1</w:t>
      </w:r>
    </w:p>
    <w:p>
      <w:r>
        <w:t>Landesrechtliche Grundlage der angefochtenen VerfÃ¼gung vom 11. September 2017 ist Art. 67 des AuslÃ¤nder- und Integrationsgesetzes (AIG, SR 142.20). Dieser ist inhaltlich identisch mit Art. 67 des AuslÃ¤ndergesetzes (AuG), welches auf den 1. Januar 2019 hin eine namentliche und inhaltliche Anpassung erfuhr. Die AbsÃ¤tze 1 und 2 dieser Bestimmung zÃ¤hlen eine Reihe von TatbestÃ¤nden auf, welche ein Einreiseverbot nach sich ziehen oder nach sich ziehen kÃ¶nnen.</w:t>
      </w:r>
    </w:p>
    <w:p>
      <w:r>
        <w:rPr>
          <w:b/>
        </w:rPr>
        <w:t>E. 3.2</w:t>
      </w:r>
    </w:p>
    <w:p>
      <w:r>
        <w:t>GemÃ¤ss Art. 67 Abs. 2 Bst. a AIG kann das SEM gegen auslÃ¤ndische Personen, die gegen die Ã¶ffentliche Sicherheit und Ordnung in der Schweiz oder im Ausland verstossen haben oder diese gefÃ¤hrden, ein Einreiseverbot verfÃ¼gen. Dieses wird - so Art. 67 Abs. 3 AIG - fÃ¼r eine Dauer von hÃ¶chstens fÃ¼nf Jahren verfÃ¼gt, kann aber fÃ¼r eine lÃ¤ngere Dauer angeordnet werden, wenn von der auslÃ¤ndischen Person eine schwerwiegende Gefahr fÃ¼r die Ã¶ffentliche Sicherheit und Ordnung ausgeht (vgl. BVGE 2014/20 E. 5). Aus humanitÃ¤ren oder anderen wichtigen GrÃ¼nden kann von der VerhÃ¤ngung eines Einreiseverbots abgesehen oder ein Einreiseverbot vollstÃ¤ndig oder vorÃ¼bergehend aufgehoben werden (Art. 67 Abs. 5 AIG).</w:t>
      </w:r>
    </w:p>
    <w:p>
      <w:r>
        <w:rPr>
          <w:b/>
        </w:rPr>
        <w:t>E. 3.3</w:t>
      </w:r>
    </w:p>
    <w:p>
      <w:r>
        <w:t>Das Einreiseverbot ist keine Sanktion fÃ¼r vergangenes Fehlverhalten, sondern eine Massnahme zur Abwendung einer kÃ¼nftigen StÃ¶rung der Ã¶ffentlichen Sicherheit und Ordnung (siehe Botschaft zum Bundesgesetz Ã¼ber die AuslÃ¤nderinnen und AuslÃ¤nder vom 8. MÃ¤rz 2002 [im Folgenden: Botschaft] BBl 2002 3813, welche in Bezug auf die Regelungen zum Einreiseverbot weiterhin massgeblich ist). Die Ã¶ffentliche Sicherheit und Ordnung im Sinne von Art. 67 Abs. 2 Bst. a AIG bildet den Oberbegriff fÃ¼r die Gesamtheit der polizeilichen SchutzgÃ¼ter. Sie umfasst unter anderem die Unverletzlichkeit der objektiven Rechtsordnung und der RechtsgÃ¼ter Einzelner (vgl. Botschaft, a.a.O. S. 3809). In diesem Sinne liegt ein Verstoss gegen die Ã¶ffentliche Sicherheit und Ordnung unter anderem dann vor, wenn gesetzliche Vorschriften oder behÃ¶rdliche VerfÃ¼gungen missachtet werden (Art. 77a Abs. 1 Bst. a der Verordnung vom 24. Oktober 2007 Ã¼ber Zulassung, Aufenthalt und ErwerbstÃ¤tigkeit [VZAE, SR 142.201]; inhaltlich identisch mit 80 Abs. 1 Bst. a VZAE in der bis zum 31. Dezember 2018 geltenden Fassung). DemgegenÃ¼ber mÃ¼ssen bei Annahme einer GefÃ¤hrdung der Ã¶ffentlichen Sicherheit und Ordnung konkrete Anhaltspunkte dafÃ¼r bestehen, dass der Aufenthalt der betroffenen Person in der Schweiz mit erheblicher Wahrscheinlichkeit zu einem Verstoss gegen die Ã¶ffentliche Sicherheit und Ordnung fÃ¼hren wird (Art. 77a Abs. 2 VZAE; inhaltlich identisch mit 80 Abs. 2 VZAE in der bis zum 31. Dezember 2018 geltenden Fassung ). Bestand ein solches Verhalten in der Vergangenheit, so wird die Gefahr entsprechender kÃ¼nftiger StÃ¶rungen von Gesetzes wegen vermutet (vgl. Botschaft, a.a.O. S. 3760 sowie Urteil des BVGer F-7649/2016 vom 13. MÃ¤rz 2018 E. 3.2 m.H.).</w:t>
      </w:r>
    </w:p>
    <w:p>
      <w:r>
        <w:rPr>
          <w:b/>
        </w:rPr>
        <w:t>E. 4.1</w:t>
      </w:r>
    </w:p>
    <w:p>
      <w:r>
        <w:t>Aufgrund seiner in Italien gÃ¼ltigen Aufenthaltsbewilligung war der BeschwerdefÃ¼hrer grundsÃ¤tzlich berechtigt, visumsfrei in die Schweiz einzureisen, und sich hier - ohne erwerbstÃ¤tig zu sein - wÃ¤hrend einer Dauer von drei Monaten aufzuhalten (vgl. hierzu: Art. 5 Abs. 1 und Abs. 2 AuG/AIG i.V.m. Art. 6 Abs. 1 der Verordnung [EG] Nr. 2016/399 des EuropÃ¤ischen Parlaments und des Rates vom 9. MÃ¤rz 2016 Ã¼ber einen Gemeinschaftskodex fÃ¼r das Ãœberschreiten der Grenzen durch Personen [Schengener Grenzkodex] [kodifizierte Fassung] ABl. L 77 vom 23. MÃ¤rz 2016 ). Die von ihm beabsichtigte ErwerbstÃ¤tigkeit in der Schweiz erforderte jedoch gemÃ¤ss Art. 11 AuG/AIG von vornherein eine Bewilligung, welche nicht eingeholt wurde. Mit der Missachtung der Bewilligungspflicht hat der BeschwerdefÃ¼hrer - ungeachtet der fehlenden strafrechtlichen Ahndung - die StraftatbestÃ¤nde von Art. 115 Abs. 1 Bst. b und Bst. c AuG/AIG erfÃ¼llt. Damit einher geht ein Verstoss gegen die Ã¶ffentliche Sicherheit und Ordnung, welcher den obigen ErwÃ¤gungen zufolge grundsÃ¤tzlich die Anordnung eines Einreiseverbots nach sich zieht.</w:t>
      </w:r>
    </w:p>
    <w:p>
      <w:r>
        <w:rPr>
          <w:b/>
        </w:rPr>
        <w:t>E. 4.2</w:t>
      </w:r>
    </w:p>
    <w:p>
      <w:r>
        <w:t>Der Einwand des BeschwerdefÃ¼hrers, er sei - im Vertrauen auf die Auskunft der italienischen Vermittlungsfirma - von einer vorhandenen Arbeitserlaubnis ausgegangen, Ã¤ndert nichts an der EinschÃ¤tzung einer von ihm ausgehenden Gefahr fÃ¼r die Ã¶ffentliche Sicherheit und Ordnung. Zu Recht hat die Vorinstanz darauf hingewiesen, dass er sich nicht auf seine eigene Unkenntnis berufen kann, sondern sich Ã¼ber seine Rechte und Pflichten in der Schweiz hÃ¤tte informieren mÃ¼ssen. Abgesehen davon ist der Einwand des BeschwerdefÃ¼hrers auch nicht glaubhaft. Dieser war nÃ¤mlich bereits zuvor, im Jahr 2016, zwecks Aufnahme einer ErwerbstÃ¤tigkeit in der Schweiz (vgl. Einvernahmeprotokoll des GWK vom 27. Oktober 2017 [Vorakten S. 13]). Zudem kann seine angeblich von Italien aus und innerhalb eines Tages direkt bei der schweizerischen Firma des Bruders vermittelte Arbeitsstelle nur als nachtrÃ¤glich erstelltes Konstrukt betrachtet werden (vgl. dazu die Vertragsunterlagen der Firma Y._______ [Beschwerde-Beilagen 7 und 8]). Dies erklÃ¤rt auch, warum der BeschwerdefÃ¼hrer bei seiner Einvernahme durch das GWK auch keine Angaben zum Namen der italienischen Firma und ihres GeschÃ¤ftsfÃ¼hrers machen konnte (vgl. Einvernahmeprotokoll des GWK vom 27. Oktober 2017 [Vorakten S. 13]).</w:t>
      </w:r>
    </w:p>
    <w:p>
      <w:r>
        <w:rPr>
          <w:b/>
        </w:rPr>
        <w:t>E. 4.3</w:t>
      </w:r>
    </w:p>
    <w:p>
      <w:r>
        <w:t>Vor diesem Hintergrund war der Erlass eines Einreiseverbots gegen den BeschwerdefÃ¼hrer gerechtfertigt.</w:t>
      </w:r>
    </w:p>
    <w:p>
      <w:r>
        <w:rPr>
          <w:b/>
        </w:rPr>
        <w:t>E. 5.1</w:t>
      </w:r>
    </w:p>
    <w:p>
      <w:r>
        <w:t>Zu prÃ¼fen bleibt, ob die Fernhaltemassnahme in richtiger AusÃ¼bung des Ermessens ergangen und angemessen ist. Der Grundsatz der VerhÃ¤ltnismÃ¤ssigkeit steht dabei im Vordergrund. Unter diesem Gesichtspunkt ist eine wertende AbwÃ¤gung vorzunehmen zwischen dem Ã¶ffentlichen Interesse an der Massnahme einerseits und den von der Massnahme beeintrÃ¤chtigten privaten Interessen des Betroffenen andererseits. Die Stellung der verletzten oder gefÃ¤hrdeten RechtsgÃ¼ter, die Besonderheiten des ordnungswidrigen Verhaltens und die persÃ¶nlichen VerhÃ¤ltnisse des VerfÃ¼gungsbelasteten bilden dabei den Ausgangspunkt der Ãœberlegungen (vgl. statt vieler HÃ¤felin et al., Allgemeines Verwaltungsrecht, 7. Auflage 2016, S. 125).</w:t>
      </w:r>
    </w:p>
    <w:p>
      <w:r>
        <w:rPr>
          <w:b/>
        </w:rPr>
        <w:t>E. 5.2</w:t>
      </w:r>
    </w:p>
    <w:p>
      <w:r>
        <w:t>Angesichts des rechtswidrigen und mutwilligen Verstosses gegen die Einreise- und Aufenthaltsbestimmungen und der damit einhergehenden ungÃ¼nstigen Prognose - welche der BeschwerdefÃ¼hrer durch die erneute Einreise am 23. MÃ¤rz 2018 bestÃ¤tigt hat - liegt seine Fernhaltung im Ã¶ffentlichen Interesse. Dabei geht es nicht nur um den spezialprÃ¤ventiven Charakter des Einreiseverbots, welches das missliche Verhalten auch Ã¼ber die angeordnete Dauer hinaus unterbinden soll, sondern auch um generalprÃ¤ventive Aspekte, die zum Schutz der auslÃ¤nderrechtlichen Ordnung eine konsequente Massnahmepraxis erfordern (zu den Kriterien der InteressenabwÃ¤gung im auslÃ¤nderrechtlichen Verfahren: vgl. Urteil des BGer 2C_432/2016 vom 26. Januar 2018 E. 4.3.2 m.H.). Angesicht dessen ist das fÃ¼r die Dauer von zwei Jahren verfÃ¼gte Einreiseverbot, welches - ausgehend von einem einmaligen Verstoss im Oktober 2017 und ungeachtet des erneuten Verstosses im MÃ¤rz 2018 - der Praxis entspricht, prinzipiell nicht zu beanstanden.</w:t>
      </w:r>
    </w:p>
    <w:p>
      <w:r>
        <w:rPr>
          <w:b/>
        </w:rPr>
        <w:t>E. 5.3</w:t>
      </w:r>
    </w:p>
    <w:p>
      <w:r>
        <w:t>Das demgegenÃ¼ber vom BeschwerdefÃ¼hrer geltend gemachte private Interesse besteht in der EinschrÃ¤nkung der KontaktmÃ¶glichkeiten zu seinen in der Schweiz lebenden Verwandten. Die VerhÃ¤ltnismÃ¤ssigkeit der Massnahme an sich wird dadurch jedoch nicht in Frage gestellt, wÃ¤re doch ansonsten das Instrument des Einreiseverbots gegenÃ¼ber allen Personen mit FamilienangehÃ¶rigen in der Schweiz per se unzulÃ¤ssig (Urteil des BGer 2C_270/2015 vom 6. August 2015 E. 8.2). Zudem ist festzuhalten, dass der BeschwerdefÃ¼hrer die alleinige Verantwortung fÃ¼r die vorÃ¼bergehend nicht mehr erlaubten Besuche in der Schweiz trÃ¤gt. Diese zwangslÃ¤ufige EinschrÃ¤nkung, von der die Mitglieder der Kernfamilie ohnehin nicht betroffen sind, hat er hinzunehmen.</w:t>
      </w:r>
    </w:p>
    <w:p>
      <w:r>
        <w:rPr>
          <w:b/>
        </w:rPr>
        <w:t>E. 6</w:t>
      </w:r>
    </w:p>
    <w:p>
      <w:r>
        <w:t>Nach alledem ist festzustellen, dass das auf zwei Jahre befristete Einreiseverbot eine verhÃ¤ltnismÃ¤ssige und angemessene Massnahme zum Schutz der Ã¶ffentlichen Sicherheit und Ordnung darstellt.</w:t>
      </w:r>
    </w:p>
    <w:p>
      <w:r>
        <w:rPr>
          <w:b/>
        </w:rPr>
        <w:t>E. 7</w:t>
      </w:r>
    </w:p>
    <w:p>
      <w:r>
        <w:t>Die angefochtene VerfÃ¼gung ist somit bundesrechtskonform (vgl. Art. 49 VwVG) und die Beschwerde demzufolge abzuweisen.</w:t>
      </w:r>
    </w:p>
    <w:p>
      <w:r>
        <w:rPr>
          <w:b/>
        </w:rPr>
        <w:t>E. 8</w:t>
      </w:r>
    </w:p>
    <w:p>
      <w:r>
        <w:t>Entsprechend dem Ausgang des Verfahrens sind dem BeschwerdefÃ¼hrer die Verfahrenskosten aufzuerlegen (Art. 63 Abs. 1 VwVG, Art. 1 ff. des Reglements Ã¼ber die Kosten und EntschÃ¤digungen vor dem Bundesverwaltungsgericht vom 21. Februar 2008 [VGKE, SR 173.320.2]). Eine ParteientschÃ¤digung steht ihm aufgrund seines Unterliegens nicht zu (Art. 64 Abs. 1 VwVG). Demnach erkennt das Bundesverwaltungsgericht: 1. Die Beschwerde wird abgewiesen. 2. Die Verfahrenskosten von Fr. 800.- werden dem BeschwerdefÃ¼hrer auferlegt. Sie sind durch den in gleicher HÃ¶he geleisteten Kostenvorschuss gedeckt. 3. Dieses Urteil geht an: - den BeschwerdefÃ¼hrer (Einschreiben) - die Vorinstanz (mit den Akten Ref-Nr. [...]) Der vorsitzende Richter: Die Gerichtsschreiberin: Yannick Antoniazza Barbara Giemsa-Haake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