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F-6666/2023 vom 11. Dezember 2023</w:t>
      </w:r>
    </w:p>
    <w:p>
      <w:r>
        <w:t>Bundesverwaltungsgericht, 2023-12-11, DE</w:t>
      </w:r>
    </w:p>
    <w:p>
      <w:r>
        <w:rPr>
          <w:b/>
        </w:rPr>
        <w:t xml:space="preserve">Quelle: </w:t>
      </w:r>
      <w:r>
        <w:t>https://mcp.opencaselaw.ch/entscheid/bvger_F-6666_2023</w:t>
      </w:r>
    </w:p>
    <w:p>
      <w:r>
        <w:t>FR: TAF F-6666/2023 du 11 décembre 2023</w:t>
      </w:r>
    </w:p>
    <w:p>
      <w:r>
        <w:t>IT: TAF F-6666/2023 del 11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Weiterungen zu den Ausführungen der Beschwerdeführerin in Bezug auf ihr exilpolitisches Engagement und dessen allfällige Kenntnisnahme durch die iranischen Behörden, mithin ihre Asylgründe, erübrigen sich.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Besitzt der Antragstellende ein gültiges Visum, so ist der Mitgliedstaat, der das Visum erteilt hat, für die Prüfung des Antrags auf internationalen Schutz zuständig (Art. 12 Abs. 2 Dublin-III-VO).</w:t>
      </w:r>
    </w:p>
    <w:p>
      <w:r>
        <w:rPr>
          <w:b/>
        </w:rPr>
        <w:t>E. 4.3</w:t>
      </w:r>
    </w:p>
    <w:p>
      <w:r>
        <w:t>Nachdem die französischen Behörden dem Aufnahmegesuch der Vorinstanz zugestimmt haben, ist die grundsätzliche staatsvertragliche Zuständigkeit Frankreichs für die Durchführung des Asyl- und Wegweisungsverfahrens unstrittig gegeben. Die Dublin-III-VO gewährt den Antragstellenden kein Wahlrecht hinsichtlich des Mitgliedstaates, der ihren Antrag prüfen soll (BVGE 2010/45 E. 8.3).</w:t>
      </w:r>
    </w:p>
    <w:p>
      <w:r>
        <w:rPr>
          <w:b/>
        </w:rPr>
        <w:t>E. 5.1</w:t>
      </w:r>
    </w:p>
    <w:p>
      <w:r>
        <w:t>Erweist es sich als unmöglich, einen Antragstellenden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6</w:t>
      </w:r>
    </w:p>
    <w:p>
      <w:r>
        <w:t>Nach ständiger Rechtsprechung des Bundesverwaltungsgerichts weist das Asylverfahren in Frankreich keine systemischen Schwachstellen im Sinne von Art. 3 Abs. 2 Dublin-III-VO auf (vgl. anstelle vieler: Urteil des BVGer E-6307/2023 vom 24. November 2023 E. 5.2). Dies stellt die Beschwerdeführerin nicht in Frage, weshalb sich Weiterungen dazu erübrigen.</w:t>
      </w:r>
    </w:p>
    <w:p>
      <w:r>
        <w:rPr>
          <w:b/>
        </w:rPr>
        <w:t>E. 7</w:t>
      </w:r>
    </w:p>
    <w:p>
      <w:r>
        <w:t>Schliesslich ist die Ausübung des Selbsteintrittsrechts nach Art. 17 Abs. 1 erster Satz Dublin-III-VO in Verbindung mit Art. 29a Abs. 3 AsylV 1 zu prüfen.</w:t>
      </w:r>
    </w:p>
    <w:p>
      <w:r>
        <w:rPr>
          <w:b/>
        </w:rPr>
        <w:t>E. 7.1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hat die diesbezüglichen völkerrechtlichen Verpflichtungen zu beachten. Den Akten lassen sich keine Gründe für die Annahme entnehmen, Frankreich werde im Fall der Beschwerdeführerin den Grundsatz des Non-Refoulement missachten und sie zur Ausreise in ein Land zwingen, in dem ihr Leib, ihr Leben oder ihre Freiheit aus einem Grund nach Art. 3 Abs. 1 AsylG gefährdet wäre oder in dem sie Gefahr laufen würden, zur Ausreise in ein solches Land gezwungen zu werden. Die Beschwerdeführerin hat sich bei einer allfälligen Bedrohung durch die iranischen Behörden an die französischen Polizei- und Justizbehörden zu wenden. Frankreich ist ein Rechtsstaat und die Behörden sind gewillt und fähig, staatlichen Schutz zu gewähren. Es bestehen keinerlei Hinweise dafür, dass die Beschwerdeführerin den benötigten Schutz dort nicht erhalten würde. Daran ändert nichts, dass Frankreich vermehrt Ziel von terroristischen Anschlägen ist und die Vorinstanz der Beschwerdeführerin keine Genehmigung zur Teilnahme an der Veranstaltung «(...)» in der Schweiz erteilte.</w:t>
      </w:r>
    </w:p>
    <w:p>
      <w:r>
        <w:rPr>
          <w:b/>
        </w:rPr>
        <w:t>E. 7.2</w:t>
      </w:r>
    </w:p>
    <w:p>
      <w:r>
        <w:t>In Bezug auf den Gesundheitszustand ist festzuhalten, dass die dokumentierten gesundheitlichen Beeinträchtigungen der Beschwerdeführerin (Nacken-, Ohren- und Rückenschmerzen, Schlafprobleme, Angstzustände, Verdacht auf eine Anpassungsstörung) allesamt nicht derart gravierend sind, dass in Anwendung von Art. 3 EMRK von einer Überstellung nach Frankreich abgesehen werden müsste (vgl. dazu Urteile des EGMR Paposhvili gegen Belgien vom 13. Dezember 2016, Grosse Kammer, 41738/10, §§ 180-193 m.w.H., bestätigt durch Savran gegen Dänemark 7. Dezember 2021, Grosse Kammer, 57467/15, §§ 121 ff.). Im Übrigen verfügt Frankreich über eine ausreichende medizinische Infrastruktur für ihre Behandlung (vgl. statt vieler: Urteil des BVGer E-6397/2023 vom 24. November 2023 E. 6.4) und ist verpflichtet, der Antragstellerin die erforderliche medizinische Versorgung zugänglich zu machen (Art. 19 Abs. 1 der Richtlinie des Europäischen Parlaments und des Rates 2013/33/EU vom 26. Juni 2013 zur Festlegung von Normen für die Aufnahme von Personen, die internationalen Schutz beantragen [Aufnahmerichtlinie]).</w:t>
      </w:r>
    </w:p>
    <w:p>
      <w:r>
        <w:rPr>
          <w:b/>
        </w:rPr>
        <w:t>E. 7.3</w:t>
      </w:r>
    </w:p>
    <w:p>
      <w:r>
        <w:t>Schliesslich hat die Vorinstanz unter Bezugnahme auf die Schilderungen der Beschwerdeführerin deren individuelle Situation, die von ihr vorgebrachte Bedrohungslage in Frankreich sowie die Schutzwilligkeit und -fähigkeit der französischen Behörden abgeklärt. Es ist weder dargetan noch ersichtlich, inwiefern weitere Abklärungen hätten vorgenommen werden müssen. Die Rügen der unvollständigen und unrichtigen Feststellung des rechtserheblichen Sachverhalts erweisen sich als unbegründet (vgl. BGE 144 V 361 E. 6.5 m.w.H. zur antizipierten Beweiswürdigung). Der Umstand, dass die Beschwerdeführerin die diesbezüglichen Schlussfolgerungen der Vorinstanz nicht teilt, stellt keine Verletzung des rechtlichen Gehörs oder der Pflicht zur vollständigen Sachverhaltsabklärung dar, sondern betrifft eine materielle Frage über die vorgebrachten Überstellungshindernisse. Von einer Rückweisung der Sache an die Vorinstanz ist abzusehen, weshalb der entsprechende Eventualantrag abzuweisen ist.</w:t>
      </w:r>
    </w:p>
    <w:p>
      <w:r>
        <w:rPr>
          <w:b/>
        </w:rPr>
        <w:t>E. 7.4</w:t>
      </w:r>
    </w:p>
    <w:p>
      <w:r>
        <w:t>Demnach hat die Vorinstanz das Selbsteintrittsrecht gemäss Art. 17 Abs. 1 Dublin-III-VO und Art. 29a Abs. 3 AsylV 1 zutreffend nicht ausgeübt, zumal die Schweiz weder völkerrechtlich verpflichtet ist, auf das Asylgesuch einzutreten, noch Rechtsfehler bei der Ermessenbetätigung dargetan oder ersichtlich sind.</w:t>
      </w:r>
    </w:p>
    <w:p>
      <w:r>
        <w:rPr>
          <w:b/>
        </w:rPr>
        <w:t>E. 8</w:t>
      </w:r>
    </w:p>
    <w:p>
      <w:r>
        <w:t>Im Ergebnis ist die Vorinstanz zu Recht auf das Asylgesuch der Beschwerdeführerin nicht eingetreten und hat ihre Wegweisung nach Frankreich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9</w:t>
      </w:r>
    </w:p>
    <w:p>
      <w:r>
        <w:t>Das Gesuch um Gewährung der unentgeltlichen Prozessführung ist abzuweisen, da die Begehren - wie sich aus den vorstehenden Erwägungen ergibt - als offensichtlich aussichtslos zu bezeichnen sind. Die Verfahrenskosten sind entsprechend der unterliegenden Beschwerdeführerin aufzuerlegen (Art. 63 Abs. 1 VwVG) und auf insgesamt Fr. 750.- festzusetzen (Art. 1 ff.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