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F-665/2023 vom 9. Mai 2023</w:t>
      </w:r>
    </w:p>
    <w:p>
      <w:r>
        <w:t>Bundesverwaltungsgericht, 2023-05-09, FR</w:t>
      </w:r>
    </w:p>
    <w:p>
      <w:r>
        <w:rPr>
          <w:b/>
        </w:rPr>
        <w:t xml:space="preserve">Quelle: </w:t>
      </w:r>
      <w:r>
        <w:t>https://mcp.opencaselaw.ch/entscheid/bvger_F-665_2023</w:t>
      </w:r>
    </w:p>
    <w:p>
      <w:r>
        <w:t>FR: TAF F-665/2023 du 9 mai 2023</w:t>
      </w:r>
    </w:p>
    <w:p>
      <w:r>
        <w:t>IT: TAF F-665/2023 del 9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w:t>
      </w:r>
    </w:p>
    <w:p>
      <w:r>
        <w:rPr>
          <w:b/>
        </w:rPr>
        <w:t>E. 2.1</w:t>
      </w:r>
    </w:p>
    <w:p>
      <w:r>
        <w:t>A titre liminaire, il convient d'examiner les griefs formels soulevés par le recourant. En effet, celui-ci a reproché à l'autorité intimée d'avoir manqué à son devoir d'instruction en lien, d'une part, avec les mauvais traitements et les push-backs dont il a allégué avoir fait l'objet en Croatie et, d'autre part, avec son état de santé. Ce manquement aurait conduit à une constatation incomplète des faits pertinents. Il aurait également abouti à une motivation déficiente de la décision attaquée, en particulier quant à l'application de la clause de souveraineté, et donc à une violation de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ATF 144 I 11 consid. 5.3 ; 143 V 71 consid. 4.1).</w:t>
      </w:r>
    </w:p>
    <w:p>
      <w:r>
        <w:rPr>
          <w:b/>
        </w:rPr>
        <w:t>E. 2.4</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 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à l'intéressé de saisir son raisonnement et, cas échéant, d'attaquer utilement la décision (cf. arrêt du TAF E-1854/2022 du 1er septembre 2022 consid. 2.2).</w:t>
      </w:r>
    </w:p>
    <w:p>
      <w:r>
        <w:rPr>
          <w:b/>
        </w:rPr>
        <w:t>E. 2.5</w:t>
      </w:r>
    </w:p>
    <w:p>
      <w:r>
        <w:t>En l'espèce, le Tribunal se détermine comme suit sur l'instruction de la cause par l'autorité inférieure avant le prononcé de la décision attaquée.</w:t>
      </w:r>
    </w:p>
    <w:p>
      <w:r>
        <w:rPr>
          <w:b/>
        </w:rPr>
        <w:t>E. 2.5.1</w:t>
      </w:r>
    </w:p>
    <w:p>
      <w:r>
        <w:t>S'agissant tout d'abord des maltraitances qui lui auraient été infligées en Croatie, il convient de relever que lors de son entretien Dublin, l'intéressé a été interrogé, en présence de sa mandataire, sur les motifs s'opposant à son transfert vers ce pays. Il a ainsi pu faire part de ce qu'il y avait vécu et des obstacles s'opposant, selon lui, à une telle mesure. Au terme de cet entretien, X._______ a du reste précisé avoir pu s'exprimer librement. La représentante juridique a certes relevé la vulnérabilité de son mandant et l'émotion dont il avait fait preuve en invoquant lesdites maltraitances. Cela étant, le prénommé n'a pas apporté, par la suite, des précisions, des compléments ou des rectifications par rapport à ses déclarations (telles qu'elles avaient été retranscrites par le SEM), alors qu'il en aurait eu la possibilité jusqu'au prononcé, plus de deux mois plus tard, de la décision querellée, dans laquelle les mauvais traitements allégués ont du reste été dûment pris en compte. Dans ce contexte, l'intéressé est malvenu de faire grief au SEM, pour la première fois au stade du recours, d'avoir insuffisamment instruit ses allégations et d'avoir ainsi violé la maxime inquisitoire. En outre, par ses arguments soulevés sur ce point, le recourant a en réalité remis en cause l'appréciation de l'autorité inférieure, en relation notamment avec les conditions d'accueil des requérants d'asile en Croatie, ce qui relève du fond et non pas à la maxime inquisitoire.</w:t>
      </w:r>
    </w:p>
    <w:p>
      <w:r>
        <w:rPr>
          <w:b/>
        </w:rPr>
        <w:t>E. 2.5.2</w:t>
      </w:r>
    </w:p>
    <w:p>
      <w:r>
        <w:t>S'agissant des reproches du recourant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(cf. décision querellée p. 4ss). Il ne peut donc pas être reproché à l'autorité inférieure de ne pas avoir investigué cette question (cf., aussi, arrêts du TAF F-5005/2022 du 22 février 2023 consid. 6.4 ; F-1532/2022 du 8 avril 2022 consid. 4.3.2).</w:t>
      </w:r>
    </w:p>
    <w:p>
      <w:r>
        <w:rPr>
          <w:b/>
        </w:rPr>
        <w:t>E. 2.5.3</w:t>
      </w:r>
    </w:p>
    <w:p>
      <w:r>
        <w:t>Quant à l'instruction de l'état de santé de l'intéressé, le Tribunal constate qu'au moment où l'autorité intimée a statué, elle disposait de deux documents médicaux dont elle a dûment tenu compte, soit un journal de soins et un rapport médical (cf. consid. B supra). Le diagnostic retenu était un trouble anxieux probable avec trouble du sommeil (sans idée suicidaire), affection pour laquelle un sédatif en réserve a été prescrit en cas d'anxiété. Rien ne permettait alors de considérer que l'intéressé nécessitait d'autres suivis médicaux que ceux dont il avait déjà bénéficié. Ainsi, au vu des éléments qui étaient en sa possession et en l'absence de besoins concrets signalés par l'intéressé, il ne saurait être fait grief au SEM de ne pas avoir diligenté de mesures d'instruction complémentaires à cet égard.</w:t>
      </w:r>
    </w:p>
    <w:p>
      <w:r>
        <w:rPr>
          <w:b/>
        </w:rPr>
        <w:t>E. 2.5.4</w:t>
      </w:r>
    </w:p>
    <w:p>
      <w:r>
        <w:t>Par conséquent, les griefs relatifs à d'éventuels manquements dans l'instruction de la cause, préalablement au prononcé de la décision querellée, doivent être rejetés.</w:t>
      </w:r>
    </w:p>
    <w:p>
      <w:r>
        <w:rPr>
          <w:b/>
        </w:rPr>
        <w:t>E. 2.6</w:t>
      </w:r>
    </w:p>
    <w:p>
      <w:r>
        <w:t>Quant à la violation du droit d'être entendu invoquée par le recourant, il y a lieu de retenir ce qui suit.</w:t>
      </w:r>
    </w:p>
    <w:p>
      <w:r>
        <w:rPr>
          <w:b/>
        </w:rPr>
        <w:t>E. 2.6.1</w:t>
      </w:r>
    </w:p>
    <w:p>
      <w:r>
        <w:t>En l'occurrence, le procès-verbal de l'entretien Dublin du 14 novembre 2022 peut être considéré comme suffisant, d'autant plus que la mandataire de l'intéressé, présente à cet entretien, a confirmé, en y apposant sa signature, qu'elle n'avait pas de questions supplémentaires à poser. En outre, dans son mémoire de recours, l'intéressé n'a pas fait part d'éléments qui auraient été omis lors de la retranscription de ses propos. Par ailleurs, il n'a pas fait valoir qu'il disposerait d'autres documents tendant à étayer son récit en plus des photographies produites montrant des blessures au pied et au genou qui ont été versées au dossier. Dans ces conditions, il n'y a pas lieu d'admettre une violation du droit d'être entendu.</w:t>
      </w:r>
    </w:p>
    <w:p>
      <w:r>
        <w:rPr>
          <w:b/>
        </w:rPr>
        <w:t>E. 2.6.2</w:t>
      </w:r>
    </w:p>
    <w:p>
      <w:r>
        <w:t>S'agissant de la motivation de la décision litigieuse, le Tribunal retient qu'elle satisfait aux exigences jurisprudentielles précitées (cf. consid. 2.4 supra). En effet, il est d'emblée possible de comprendre sur quels motifs l'autorité inférieure - qui a dûment instruit la cause au préalable (cf. consid. 2.5 supra) - s'est fondée pour statuer. Le recourant ayant produit un mémoire de recours de 27 pages, il y a lieu de considérer que tel fut également le cas du recourant. Cela étant, il n'a aucunement été empêché d'exercer son droit de recours en toute connaissance de cause.</w:t>
      </w:r>
    </w:p>
    <w:p>
      <w:r>
        <w:rPr>
          <w:b/>
        </w:rPr>
        <w:t>E. 2.6.3</w:t>
      </w:r>
    </w:p>
    <w:p>
      <w:r>
        <w:t>Partant, les griefs relatifs à la violation du droit d'être entendu doivent être écartés.</w:t>
      </w:r>
    </w:p>
    <w:p>
      <w:r>
        <w:rPr>
          <w:b/>
        </w:rPr>
        <w:t>E. 3.1</w:t>
      </w:r>
    </w:p>
    <w:p>
      <w:r>
        <w:t>Saisi d'un recours contre une décision de non-entrée en matière sur une demande d'asile, le Tribunal se limite à examiner le bien-fondé d'une telle décision (cf. ATAF 2017 VI/5 consid. 3.1).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3.3</w:t>
      </w:r>
    </w:p>
    <w:p>
      <w:r>
        <w:t>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 2017 VI/5 consid. 6.2). Selon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3.4</w:t>
      </w:r>
    </w:p>
    <w:p>
      <w:r>
        <w:t>En l'occurrence, les investigations entreprises par le SEM ont révélé, après consultation de l'unité centrale de système européen Eurodac, que l'intéressé avait été appréhendé sur le territoire croate en date du 27 septembre 2022 et que ses empreintes y avaient été relevées le jour même. Fondé sur ce constat et les informations fournies lors de l'entretien Dublin effectué avec le recourant en date du 14 novembre 2022, le SEM a soumis, le même jour, soit dans le délai de deux mois à compter du résultat positif résultant de la base de données prévue à l'art. 21 par. 1 du règlement Dublin III, une requête aux fins de son admission aux autorités croates conformément à l'art. 13 al. 1 du règlement Dublin III. Les autorités croates ayant explicitement accepté le 13 janvier 2023, soit dans le délai prévu à l'art. 22 par. 1 du règlement Dublin III, la demande de prise en charge, il s'ensuit que la Croatie est bien l'Etat membre tenu en principe de prendre en charge le recourant, ce qui n'est d'ailleurs pas contesté par ce dernier.</w:t>
      </w:r>
    </w:p>
    <w:p>
      <w:r>
        <w:rPr>
          <w:b/>
        </w:rPr>
        <w:t>E. 4</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4.1</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La Croatie est également présumée respecter la sécurité des demandeurs d'asile (cf. arrêts du TAF F-3061/2021 du 9 juillet 2021 consid. 5.2 et E--711/2021 du 11 mars 2021 consid. 4.2.1),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[directive Procédure] et directive no 2013/33/UE du Conseil du 26 juin 2013 relative à des normes minimales pour l'accueil des demandeurs d'asile dans les Etats membres [directive Accueil]).</w:t>
      </w:r>
    </w:p>
    <w:p>
      <w:r>
        <w:rPr>
          <w:b/>
        </w:rPr>
        <w:t>E. 4.2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d'autant moins que dans ce dernier cas de figure, il appartient à la personne transférée de déposer une demande d'asile dès son arrivée en Croatie.</w:t>
      </w:r>
    </w:p>
    <w:p>
      <w:r>
        <w:rPr>
          <w:b/>
        </w:rPr>
        <w:t>E. 4.3</w:t>
      </w:r>
    </w:p>
    <w:p>
      <w:r>
        <w:t>Au vu de ce qui précède, il faut partir du principe que les requérants transférés en Croatie sur la base du règlement Dublin III ont accès à la procédure d'asile dans ce pays à condition d'y déposer une demande. Par conséquent, il n'y a pas de probabilité notable que les personnes transférées soient exposées à un risque de violation de leurs droits découlant du principe de non-refoulement (arrêt de référence précité consid. 9.5). En particulier, le recourant n'a fourni aucun élément concret susceptible de renverser la présomption de sécurité susmentionnée, ses critiques concernant le traitement réservé aux migrants par les autorités croates ne se rapportant pas à des demandeurs d'asile mais à des personnes séjournant clandestinement en Croatie. De plus, son récit ne contient pas de substance matérielle permettant d'admettre que les mauvais traitements qu'il allègue avoir subis par les forces de l'ordre - même si de tels traitements sont inacceptables étaient d'une intensité telle à atteindre un seuil permettant d'imaginer des défaillances systématiques ou une violation de l'interdiction de traitements inhumains et dégradants telle que définie notamment à l'art. 3 CEDH. Il n'a pas non plus fait état d'éléments spécifiques à même de démontrer que la Croatie ne respecterait pas le principe de non-refoulement et faillirait, une fois qu'il aura déposé une demande d'asile dans ce pays, à ses obligations internationales en le renvoyant dans un pays où sa vie, son intégrité corporelle ou sa liberté seraient sérieusement menacées, ou encore d'où il risquerait d'être astreint à se rendre dans un tel pays. Partant, en l'absence d'une pratique actuelle avérée en Croatie de violation systématique des normes communautaires et conventionnelles en la matière, la présomption de respect par cet Etat de ses obligations concernant les droits des requérants d'asile, pris en charge dans le cadre d'une procédure Dublin, n'est pas renversée. Par voie de conséquence, l'application de l'art. 3 par. 2 al. 2 RD III ne se justifie pas en l'espèce. Cela étant, si l'intéressé devait, à l'issue de son transfert en Croatie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leurs droits fondamentaux, il lui appartiendrait de faire valoir ses droits directement auprès des autorités de ce pays en usant des voies de droit adéquates (arrêt du TAF F-7130/2017 du 28 mai 2018 consid. 5).</w:t>
      </w:r>
    </w:p>
    <w:p>
      <w:r>
        <w:rPr>
          <w:b/>
        </w:rPr>
        <w:t>E. 5</w:t>
      </w:r>
    </w:p>
    <w:p>
      <w:r>
        <w:t>Pour s'opposer à son transfert en Croatie, le recourant a, en substance, allégué avoir subi des violences et mauvais traitements (notamment des coups et injures racistes) lors de ses trois tentatives d'entrer dans ce pays. Il a également indiqué que les policiers croates ne lui auraient pas proposé de déposer une demande d'asile. Il a aussi déclaré avoir des problèmes psychologiques (troubles du sommeil et cauchemars) et souffrir de son genou à la suite des coups reçus en Croatie.</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être amené à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2017 VI/5 consid. 8.5.2 ; arrêt TAF F-5470/2018 du 28 janvier 2019 consid. 6.2).</w:t>
      </w:r>
    </w:p>
    <w:p>
      <w:r>
        <w:rPr>
          <w:b/>
        </w:rPr>
        <w:t>E. 5.2</w:t>
      </w:r>
    </w:p>
    <w:p>
      <w:r>
        <w:t>Le Tribunal rappelle d'emblée que le règlement Dublin III ne confère pas aux requérants d'asile le droit de choisir l'Etat membre offrant, à leur avis, les meilleures conditions d'accueil comme Etat responsable de l'examen de leur demande d'asile (cf. ATAF 2017 VI/5 consid. 8.2.1).</w:t>
      </w:r>
    </w:p>
    <w:p>
      <w:r>
        <w:rPr>
          <w:b/>
        </w:rPr>
        <w:t>E. 5.3</w:t>
      </w:r>
    </w:p>
    <w:p>
      <w:r>
        <w:t>En l'espèce, aucun élément du dossier ne permet de considérer que le transfert du recourant vers la Croatie violerait les obligations de la Suisse issues du droit international ou qu'il existe des raisons humanitaires pour que la responsabilité de traiter sa demande d'asile échoit à ce dernier pays.</w:t>
      </w:r>
    </w:p>
    <w:p>
      <w:r>
        <w:rPr>
          <w:b/>
        </w:rPr>
        <w:t>E. 5.4</w:t>
      </w:r>
    </w:p>
    <w:p>
      <w:r>
        <w:t>Tout d'abord, les allégations relatives aux violences policières subies ne sont pas décisives. En effet, même si l'intéressé a été victime d'un usage disproportionné de la force lors de ses interpellations sur sol croate, son transfert ne serait pas pour autant contraire aux normes de droit international souscrites par la Suisse. En effet, il n'y a pas de raison concrète et sérieuse d'admettre que son transfert à Zagreb (cf. acceptation de l'Unité Dublin croate ; consid. A.e supra) risque de l'exposer à une situation similaire à celle qu'il dit avoir connue dans la région frontalière lors de son interpellation en tant que personne étrangère entrée irrégulièrement sur le territoire croate par une frontière extérieure à l'espace Schengen. Par ailleurs, les allégations et les moyens de preuve produits par le recourant ne sont pas sans autre crédibles. Les photographies produites montrent des marques cutanées peu distinctes, prises dans des circonstances indéterminées et ne sont pas datées, ce qui affaiblit leur valeur probante. En outre, sans minimiser les problèmes soulevés dans le rapport établi par l'OSAR le 13 septembre 2022, que le recourant cite notamment dans son mémoire de recours (p. 14), le Tribunal ne saurait conclure, sous l'angle de la récente jurisprudence en la matière (cf. consid. 4.2 supra), à l'absence généralisée de tous moyens de droit en Croatie. Il considère pouvoir se fier, en l'état et s'agissant d'une procédure de prise en charge Dublin, aux informations recueillies par l'Ambassade de suisse, telles que résumées dans la décision du SEM du 25 janvier 2023.</w:t>
      </w:r>
    </w:p>
    <w:p>
      <w:r>
        <w:rPr>
          <w:b/>
        </w:rPr>
        <w:t>E. 5.5</w:t>
      </w:r>
    </w:p>
    <w:p>
      <w:r>
        <w:t>S'agissant de l'état de santé, l'intéressé a allégué avoir, sur le plan psychologique, des troubles du sommeil (cauchemars) et, sur le plan physique, un problème au genou à la suite de coups qu'il aurait reçus en Croatie. Dans son mémoire de recours, il a affirmé souffrir d'une anxiété généralisée et être toujours dans l'attente d'un rendez-vous aux urgences psychiatriques pour effectuer un examen plus détaillé et bénéficier d'un suivi psychologique. 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Par ailleurs, de jurisprudence constante, le Tribunal a retenu que la Croatie dispose de structures médicales suffisantes, même si les possibilités de soins ne sont pas aussi variés qu'en Suisse.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En l'espèce, il ressort du dossier que, sur le plan somatique, le recourant a été examiné pour son problème au genou et qu'une intervention médicale n'a pas été jugée nécessaire (cf. journal des soins du 15 novembre 2022, pièce SEM 22). Dans ces conditions, cette affection ne fait manifestement pas obstacle à son transfert. Il est encore à noter que l'intéressé n'a plus fait mention de cette affection dans son mémoire de recours. Sur le plan psychique, le diagnostic de trouble anxieux probable avec trouble du sommeil sans idée suicidaire a été établi le 16 décembre 2022, pour lequel la prise d'Atarax a été prescrite (cf. pièce SEM 23). L'intéressé, au moment du dépôt de son recours, était toujours dans l'attente d'une consultation à l'Unité de psychiatrie ambulatoire (UPA) d'Orbe. Toutefois, le Tribunal relève que si l'état psychique du recourant ne saurait être minimisé, le rapport médical du 16 décembre 2022 n'a fait état d'aucune urgence médicale. De plus, l'intéressé n'a produit à ce jour, soit plus de quatre mois après ledit rapport, aucun autre document médical indiquant que ses problèmes psychiques nécessiteraient une prise en charge urgente et spécifique que seule la Suisse serait en mesure de prodiguer. Dès lors, sans qu'il soit nécessaire de procéder à des mesures d'instruction supplémentaires, le Tribunal admet, eu égard à la jurisprudence restrictive en la matière et au fait que la Croatie bénéficie d'une structure médicale suffisante, qu'il n'y a pas lieu de considérer que le trouble psychique dont l'intéressé fait l'objet est d'une gravité telle qu'il ferait obstacle à son transfert en Croatie. Cela dit, il incombera toutefois aux autorités suisses chargées de l'exécution du transfert de transmettre à leurs homologues croates, en temps utile, les renseignements permettant, si besoin, une prise en charge médicale adéquate du recourant (cf. art. 31 et 32 RD III), étant rappelé que le requérant a donné son accord écrit à la transmission d'informations médicales.</w:t>
      </w:r>
    </w:p>
    <w:p>
      <w:r>
        <w:rPr>
          <w:b/>
        </w:rPr>
        <w:t>E. 5.6</w:t>
      </w:r>
    </w:p>
    <w:p>
      <w:r>
        <w:t>Au vu de ce qui précède, le transfert du recourant n'est pas contraire aux obligations de la Suisse découlant des art. 3 et 13 CEDH ainsi que 3 Conv. torture.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6</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Au vu ce qui précède, le recours est rejeté, sans échange d'écritures (art. 111a al. 1 LAsi).</w:t>
      </w:r>
    </w:p>
    <w:p>
      <w:r>
        <w:rPr>
          <w:b/>
        </w:rPr>
        <w:t>E. 7</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été mis au bénéfice de l'assistance judiciaire partielle, par décision incidente du 8 février 2023,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