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F-6659/2023 vom 21. Februar 2024</w:t>
      </w:r>
    </w:p>
    <w:p>
      <w:r>
        <w:t>Bundesverwaltungsgericht, 2024-02-21, DE</w:t>
      </w:r>
    </w:p>
    <w:p>
      <w:r>
        <w:rPr>
          <w:b/>
        </w:rPr>
        <w:t xml:space="preserve">Quelle: </w:t>
      </w:r>
      <w:r>
        <w:t>https://mcp.opencaselaw.ch/entscheid/bvger_F-6659_2023</w:t>
      </w:r>
    </w:p>
    <w:p>
      <w:r>
        <w:t>FR: TAF F-6659/2023 du 21 février 2024</w:t>
      </w:r>
    </w:p>
    <w:p>
      <w:r>
        <w:t>IT: TAF F-6659/2023 del 21 febbraio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und Bruder des Gesuchstellers durch die angefochtene Verfügung besonders berührt. Er ist zur Erhebung des Rechtsmittels legitimiert, zumal der Gesuchsteller mit dem Visumsantrag nach wie vor einen Besuch in der Schweiz anstrebt (Art. 48 Abs. 1 VwVG).</w:t>
      </w:r>
    </w:p>
    <w:p>
      <w:r>
        <w:t>F-6659/2023 Seite 3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eines türkischen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F-6659/2023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w:t>
      </w:r>
    </w:p>
    <w:p>
      <w:r>
        <w:t>F-6659/2023 Seite 5 Ablauf der Gültigkeit des beantragten Visums zu verlassen (Art. 32 Abs. 1 Bst. b VK).</w:t>
      </w:r>
    </w:p>
    <w:p>
      <w:r>
        <w:rPr>
          <w:b/>
        </w:rPr>
        <w:t>E. 4</w:t>
      </w:r>
    </w:p>
    <w:p>
      <w:r>
        <w:t>Strittig ist, ob der türkische Gesuchsteller hinreichend Gewähr für eine frist- 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hiervor). Ein gewisser Schematismus kann in diesem Zusammenhang zwar nicht in Abrede gestellt werden. Visumsverweigerungen erfolgend aber nicht pauschal aufgrund der Staatszugehörigkeit, sondern unter Vor- nahme einer Einzelfallprüfung. Die Vorinstanz nahm im Rahmen einer Ge- samtwürdigung umfassend auf die persönlichen Lebensumstände des Ge- suchstellers Bezug. Dass dabei Gesuchstellenden in ähnlichen Lebenssi- tuationen – unter Berücksichtigung der Besonderheiten des Einzelfalls – grundsätzlich ein gleicher Entscheid zukommt, spricht denn auch für eine rechtsgleiche Anwendung der Voraussetzungen bei der Prüfung einer Vi- sumerteilung.</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F-6659/2023 Seite 6</w:t>
      </w:r>
    </w:p>
    <w:p>
      <w:r>
        <w:rPr>
          <w:b/>
        </w:rPr>
        <w:t>E. 4.4</w:t>
      </w:r>
    </w:p>
    <w:p>
      <w:r>
        <w:t>Der 38-jährige Gesuchsteller ist verheiratet und lebt mit seiner Ehefrau und seiner Tochter in Ankara. Damit verfügt er über familiäre Verpflichtun- gen in der Türkei. Das Zurücklassen minderjähriger Kinder sowie der Ehe- frau bildet für sich allein keine Garantie für eine anstandslose und fristge- rechte Wiederausreise nach einem Besuchsaufenthalt. Die Erfahrung zeigt, dass es in der Regel vielmehr die individuell herrschenden wirtschaft- lichen und sozialen Verhältnisse sind, die letztlich über Rückkehr oder Ver- bleib im Ausland entscheiden. Die vorübergehende Trennung einer Familie wird je nach Interessenlage in Kauf genommen. Dies umso eher, wenn die Betreuung des Kindes durch nahe Angehörige (hier die Ehefrau und Kinds- mutter) sichergestellt werden kann und die Möglichkeit besteht, das Kind sowie die Ehefrau später nachziehen zu können (vgl. Urteile des BVGer F-350/2023 vom 1. Dezember 2023 E. 8.2.1; F-2363/2022 vom 22. August 2022 E. 6.5; je m.w.H.). Dass dem Gesuchsteller über das übliche Mass hinausgehende gesellschaftliche oder familiäre Verpflichtungen obliegen würden, ist nicht ersichtlich. Zu berücksichtigen ist ferner, dass er in der Schweiz durch seinen hier lebenden Bruder und dessen Familie ein vorbe- stehendes familiäres Beziehungsnetz besitzt, was das Emigrationsrisiko viel eher noch erhöht.</w:t>
      </w:r>
    </w:p>
    <w:p>
      <w:r>
        <w:rPr>
          <w:b/>
        </w:rPr>
        <w:t>E. 4.5</w:t>
      </w:r>
    </w:p>
    <w:p>
      <w:r>
        <w:t>In Bezug auf die wirtschaftlichen Verhältnisse ist aktenkundig, dass der Gesuchsteller als Angestellter einer (…) gemäss Lohnabrechnungen von März bis Mai 2023 ein monatliches Einkommen von 15'332 türkische Lira (Fr. 436.–) erzielte. Die auf den Gesuchsteller lautenden Bankkonten wei- sen ein Gesamtvermögen von 3'212.– türkische Lira (Fr. 91.35) und 39'717 Euro (Fr. 37'240.–) auf. Auffallend ist, dass sich das Vermögen des Ge- suchstellers von 26'000 Euro (Fr. 24'380.–) im Februar 2023 auf über 39'000 Euro (Fr. 36'570.–) im Juni 2023 erhöht hat. Die Herkunft des Geld- betrags in Euro ist aus den Akten nicht ersichtlich. Damit bleibt unklar, ob es sich um selbsterwirtschaftetes Vermögen oder Unterstützungsleistun- gen handelt. Eine über eine längere Zeit erfolgte Dokumentation der Ein- kommensverhältnisse mittels Lohnabrechnungen und Bankkontoauszü- gen erfolgte nicht. Die von März bis Mai 2023 erhaltenen Lohnzahlungen lassen jedenfalls nicht auf solide berufliche Verhältnisse schliessen. Das geltend gemachte Eigentum an einer Immobilie blieb gänzlich unbelegt. Eine verlässliche Einschätzung der Einkommens- und Vermögensverhält- nisse des Gesuchstellers ist somit nicht möglich. Vor diesem Hintergrund – und mit Blick auf das für Schweizer Verhältnisse ohnehin relativ geringe Vermögen, welches zudem bei einer Auswanderung nicht zwingend verlo- ren geht (vgl. BVGE 2014/1 E. 6.3.6 m.H.) – kann entgegen den Ausfüh- rungen auf Beschwerdeebene nicht von stabilen wirtschaftlichen</w:t>
      </w:r>
    </w:p>
    <w:p>
      <w:r>
        <w:t>F-6659/2023 Seite 7 Verhältnissen ausgegangen werden, welche den Gesuchsteller von einer Emigration abzuhalten vermöchten. Soweit der Beschwerdeführer vor- bringt, die schwierige wirtschaftliche Lage in der Türkei dürfe nicht zur An- nahme führen, dass türkische Staatsangehörige nicht fristgerecht aus dem Schengen-Raum ausreisen würden, ist auf die Ausführungen zur schlech- ten Sicherheits- und Wirtschaftslage in der Türkei zu verweisen (siehe E.</w:t>
      </w:r>
    </w:p>
    <w:p>
      <w:r>
        <w:rPr>
          <w:b/>
        </w:rPr>
        <w:t>E. 5</w:t>
      </w:r>
    </w:p>
    <w:p>
      <w:r>
        <w:t>Im Ergebnis ging die Vorinstanz zu Recht davon aus, die Wiederausreise des Gesuchstellers sei nicht ausreichend gesichert. An dieser Einschät- zung vermögen die vom Beschwerdeführer unterzeichnete Verpflichtungs- erklärung und die Bereitschaft, eine Garantiesumme zu hinterlegen, nichts zu ändern. Der Beschwerdeführer kann zwar als Gastgeber mit rechtlich verbindlicher Wirkung für gewisse finanzielle Risiken im Zusammenhang mit dem Besuchsaufenthalt, nicht aber für ein bestimmtes Verhalten der eingeladenen Person einstehen (vgl. BVGE 2014/1 E. 6.3.7 und BVGE 2009/27 E. 9). Der Kontakt zwischen dem Gesuchsteller und dem Beschwerdeführer, welcher in der Schweiz als Flüchtling anerkannt wurde, kann durch persönliche Treffen in einem Drittstaat oder mittels elektroni- scher Kommunikationsmittel aufrechterhalten werden. Die Vorinstanz hat das nachgesuchte Visum für den Schengen-Raum zu Recht verweigert.</w:t>
      </w:r>
    </w:p>
    <w:p>
      <w:r>
        <w:rPr>
          <w:b/>
        </w:rPr>
        <w:t>E. 6</w:t>
      </w:r>
    </w:p>
    <w:p>
      <w:r>
        <w:t>Die angefochtene Verfügung erweist sich als rechtmässig (Art. 49 VwVG). Die Beschwerde ist abzuweisen.</w:t>
      </w:r>
    </w:p>
    <w:p>
      <w:r>
        <w:rPr>
          <w:b/>
        </w:rPr>
        <w:t>E. 7</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w:t>
      </w:r>
    </w:p>
    <w:p>
      <w:r>
        <w:t>F-6659/2023 Seite 8 [VGKE, SR 173.320.2]). Sie sind durch den geleisteten Kostenvorschuss gedeckt.</w:t>
      </w:r>
    </w:p>
    <w:p>
      <w:r>
        <w:rPr>
          <w:b/>
        </w:rPr>
        <w:t>E. 8</w:t>
      </w:r>
    </w:p>
    <w:p>
      <w:r>
        <w:t>Das Bundesverwaltungsgericht entscheidet in der vorliegenden Angele- genheit endgültig (Art. 83 Bst. c Ziff. 1 BGG).</w:t>
      </w:r>
    </w:p>
    <w:p>
      <w:r>
        <w:t>(Dispositiv: nachfolgende Seite)</w:t>
      </w:r>
    </w:p>
    <w:p>
      <w:r>
        <w:t>F-6659/2023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