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F-6640/2023 vom 7. Dezember 2023</w:t>
      </w:r>
    </w:p>
    <w:p>
      <w:r>
        <w:t>Bundesverwaltungsgericht, 2023-12-07, FR</w:t>
      </w:r>
    </w:p>
    <w:p>
      <w:r>
        <w:rPr>
          <w:b/>
        </w:rPr>
        <w:t xml:space="preserve">Quelle: </w:t>
      </w:r>
      <w:r>
        <w:t>https://mcp.opencaselaw.ch/entscheid/bvger_F-6640_2023</w:t>
      </w:r>
    </w:p>
    <w:p>
      <w:r>
        <w:t>FR: TAF F-6640/2023 du 7 décembre 2023</w:t>
      </w:r>
    </w:p>
    <w:p>
      <w:r>
        <w:t>IT: TAF F-6640/2023 del 7 dicembre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en examiner le bien-fondé (cf. ATAF 2017 VI/5 consid. 3.1).</w:t>
      </w:r>
    </w:p>
    <w:p>
      <w:r>
        <w:rPr>
          <w:b/>
        </w:rPr>
        <w:t>E. 3</w:t>
      </w:r>
    </w:p>
    <w:p>
      <w:r>
        <w:t>A titre liminaire, il convient d'examiner les griefs formels soulevés par le recourant. Celui-ci se plaint d'une constatation incomplète et inexacte des faits pertinents et d'une motivation lacunaire (plus particulièrement s'agissant du principe de l'unité familiale sur ce dernier point) de la décision entreprise qui résulterait selon lui d'une instruction insuffisante s'agissant de son état de santé et des liens avec sa soeur.</w:t>
      </w:r>
    </w:p>
    <w:p>
      <w:r>
        <w:rPr>
          <w:b/>
        </w:rPr>
        <w:t>E. 3.1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TAF E-4367/2022 du 6 octobre 2022 consid. 2.1.1).</w:t>
      </w:r>
    </w:p>
    <w:p>
      <w:r>
        <w:rPr>
          <w:b/>
        </w:rPr>
        <w:t>E. 3.2</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ATAF 2013/34 consid. 4.1 ; 2012/23 consid. 6.1.2 et réf. cit.). Elle n'a toutefois pas l'obligation d'exposer et de discuter tous les faits, moyens de preuve et griefs invoqués par les parties, mais peut au contraire se limiter à l'examen des questions décisives pour l'issue du litige.</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3.4</w:t>
      </w:r>
    </w:p>
    <w:p>
      <w:r>
        <w:t>S'agissant des reproches formulés quant à l'instruction de son état de santé, le Tribunal relève que le recourant n'a fait valoir aucun problème d'ordre médical lors de son entretien Dublin, si ce n'est des douleurs aux poumons et à la trachée, un sommeil agité ainsi qu'une suspicion d'hépatite B. Contrairement aux allégations formulées dans le recours, il sied de constater que l'autorité inférieure a dûment pris en compte, dans sa décision, les affections dont souffrirait l'intéressé (cf. décision querellée, p. 7). Si certes, il ne ressort pas du dossier que ce dernier ait, comme il l'avait pourtant annoncé, effectué une prise de sang pour vérifier qu'il n'avait pas contracté une hépatite B (cf. dossier SEM, pce. 13), on ne saurait reprocher à l'autorité inférieure de ne pas avoir attendu le résultat de cette prise de sang pour prendre sa décision, ce d'autant plus que le recourant n'a pas fait valoir avoir consulté s'agissant de symptômes liés à une éventuelle hépatite B. Ce dernier n'a d'ailleurs fourni aucun certificat attestant des autres problèmes médicaux allégués, si ce n'est des journaux de soins indiquant qu'il avait de nouveau besoin de Ventolin et qu'il souhaitait se faire vacciner (cf. mémoire de recours, annexes 8 à 10). Quant aux problèmes psychiques invoqués, on ne saurait suivre le recourant lorsqu'il reproche au SEM d'avoir rendu sa décision sans attendre l'issue du rendez-vous planifié à fin novembre, le mémoire de recours ne contenant aucune indication s'agissant des troubles dont souffrirait l'intéressé. Les divers journaux de soins versés au dossier sont en particulier muets à cet égard. Dans ces conditions, le Tribunal estime que l'état de santé du recourant a été établi à satisfaction de droit par le SEM.</w:t>
      </w:r>
    </w:p>
    <w:p>
      <w:r>
        <w:rPr>
          <w:b/>
        </w:rPr>
        <w:t>E. 3.5</w:t>
      </w:r>
    </w:p>
    <w:p>
      <w:r>
        <w:t>Quant au grief relevant du lien familial entretenu par le recourant avec sa soeur qui réside en Suisse, le Tribunal constate que l'autorité inférieure en a tenu compte dans la décision querellée (cf. décision querellée, pp. 2 et 5). Partant, cette question relevant plutôt du fond, elle fera l'objet d'un examen distinct ci-dessous, sous l'angle de l'application du règlement Dublin III plus précisément (cf., respectivement, consid. 6 et 8.5 infra).</w:t>
      </w:r>
    </w:p>
    <w:p>
      <w:r>
        <w:rPr>
          <w:b/>
        </w:rPr>
        <w:t>E. 3.6</w:t>
      </w:r>
    </w:p>
    <w:p>
      <w:r>
        <w:t>Il résulte de ce qui précède que les griefs d'ordre formel invoqués par le recourant doivent être écartés dans leur intégralité.</w:t>
      </w:r>
    </w:p>
    <w:p>
      <w:r>
        <w:rPr>
          <w:b/>
        </w:rPr>
        <w:t>E. 4</w:t>
      </w:r>
    </w:p>
    <w:p>
      <w:r>
        <w:t>Dès lors, il s'agit de déterminer si, dans le cas d'espèce, le SEM était fondé à faire application de l'art. 31a al. 1 let. b LAsi, disposition selon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d'asile (cf. ATAF 2017 VI/7 consid. 2.1).</w:t>
      </w:r>
    </w:p>
    <w:p>
      <w:r>
        <w:rPr>
          <w:b/>
        </w:rPr>
        <w:t>E. 4.3</w:t>
      </w:r>
    </w:p>
    <w:p>
      <w:r>
        <w:t>Dans une procédure de reprise en charge, comme en l'espèce, il n'y a en principe aucun nouvel examen de la compétence selon le chapitre III (cf. ATAF 2017 VI/5 consid. 6.2 et 8.2.1 et références citées).</w:t>
      </w:r>
    </w:p>
    <w:p>
      <w:r>
        <w:rPr>
          <w:b/>
        </w:rPr>
        <w:t>E. 5.1</w:t>
      </w:r>
    </w:p>
    <w:p>
      <w:r>
        <w:t>En l'espèce et comme déjà indiqué plus haut (cf. let. C supra), les autorités croates ont expressément accepté de reprendre en charge l'intéressé, précisant qu'elles allaient poursuivre le processus de détermination de leur responsabilité, sur la base de l'art. 20 par. 5 du règlement Dublin III.</w:t>
      </w:r>
    </w:p>
    <w:p>
      <w:r>
        <w:rPr>
          <w:b/>
        </w:rPr>
        <w:t>E. 5.2</w:t>
      </w:r>
    </w:p>
    <w:p>
      <w:r>
        <w:t>Dans la mesure où le dépôt par le recourant d'une demande d'asile en Croatie a été confirmé par les données enregistrées dans le système « Eurodac », sans qu'il n'y ait du reste de résultat positif (hit) « Eurodac » ailleurs, et où l'intéressé n'a pas allégué avoir quitté le territoire des Etats membres, ni obtenu de titre de séjour de la part d'un autre Etat membre dans l'intervalle, c'est à juste titre que le SEM s'est fondé sur cette disposition pour admettre la compétence de la Croatie.</w:t>
      </w:r>
    </w:p>
    <w:p>
      <w:r>
        <w:rPr>
          <w:b/>
        </w:rPr>
        <w:t>E. 6</w:t>
      </w:r>
    </w:p>
    <w:p>
      <w:r>
        <w:t>Il convient toutefois de déterminer si, comme le recourant le fait valoir, la présence de sa soeur en Suisse serait, sur la base de l'art. 7 par. 3 du règlement Dublin III, de nature à remettre en cause la compétence de la Croatie ainsi établie.</w:t>
      </w:r>
    </w:p>
    <w:p>
      <w:r>
        <w:rPr>
          <w:b/>
        </w:rPr>
        <w:t>E. 6.1</w:t>
      </w:r>
    </w:p>
    <w:p>
      <w:r>
        <w:t>En l'occurrence, le Tribunal relève d'emblée que le lien de parenté invoqué n'est pas couvert par la définition de « membres de la famille » au sens de l'art. 2 let. g du règlement Dublin III.</w:t>
      </w:r>
    </w:p>
    <w:p>
      <w:r>
        <w:rPr>
          <w:b/>
        </w:rPr>
        <w:t>E. 6.2</w:t>
      </w:r>
    </w:p>
    <w:p>
      <w:r>
        <w:t>Par ailleurs, si d'autres liens familiaux ou de parenté que ceux relevant de la famille au sens étroit (cf. ATF 147 I 268 consid. 1.2.3 ; 144 II 1 consid. 6.1), tels ceux entre des enfants majeurs et leurs parents ou entre des frères et soeurs, peuvent également tomber dans le champ de protection de la vie familiale garantie par l'art. 8 par. 1 CEDH (RS 0.101 ; cf. arrêt du TAF F-5073/2023 du 26 septembre 2023 et jurisp. cit.), un rapport de dépendance particulier dépassant les relations familiales, respectivement les liens émotionnels, usuels, par exemple en raison d'un handicap ou d'une maladie grave nécessitant une prise en charge permanente, doit exister (cf. ATF 145 I 227 consid. 3.1 ; ATAF 2007/45 consid. 5.3).</w:t>
      </w:r>
    </w:p>
    <w:p>
      <w:r>
        <w:rPr>
          <w:b/>
        </w:rPr>
        <w:t>E. 6.3</w:t>
      </w:r>
    </w:p>
    <w:p>
      <w:r>
        <w:t>En l'espèce, bien que le souhait de l'intéressé de demeurer dans le pays dans lequel réside sa soeur soit compréhensible, il n'existe aucun lien de dépendance au sens de la jurisprudence susmentionnée, étant rappelé qu'un soutien uniquement moral ne suffit pas (cf. arrêts du TAF F-5073/2023 et jurisp. cit.). Dès lors, la responsabilité de la Croatie en vue du traitement de la demande d'asile de l'intéressé ne saurait être contestée.</w:t>
      </w:r>
    </w:p>
    <w:p>
      <w:r>
        <w:rPr>
          <w:b/>
        </w:rPr>
        <w:t>E. 7</w:t>
      </w:r>
    </w:p>
    <w:p>
      <w:r>
        <w:t>Il reste ainsi à examiner si, en vertu de l'art. 3 par. 2 al. 2 règlement Dublin III, 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7.1</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7.2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règlement Dublin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w:t>
      </w:r>
    </w:p>
    <w:p>
      <w:r>
        <w:rPr>
          <w:b/>
        </w:rPr>
        <w:t>E. 7.5</w:t>
      </w:r>
    </w:p>
    <w:p>
      <w:r>
        <w:t>Au vu de ce qui précède, il faut partir du principe que les requérants transférés en Croatie sur la base du règlement Dublin III ont accès à la procédure d'asile dans ce pays, et ce, indépendamment qu'il s'agisse d'un cas de prise ou de reprise en charge (cf. arrêt E-1488/2020 précité, consid. 9.4.4 in fine et consid. 9.5).</w:t>
      </w:r>
    </w:p>
    <w:p>
      <w:r>
        <w:rPr>
          <w:b/>
        </w:rPr>
        <w:t>E. 7.6</w:t>
      </w:r>
    </w:p>
    <w:p>
      <w:r>
        <w:t>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saurait trouver application en l'espèce.</w:t>
      </w:r>
    </w:p>
    <w:p>
      <w:r>
        <w:rPr>
          <w:b/>
        </w:rPr>
        <w:t>E. 8</w:t>
      </w:r>
    </w:p>
    <w:p>
      <w:r>
        <w:t>Pour s'opposer à son transfert, l'intéressé sollicite encore l'application de la clause discrétionnaire prévue à l'art. 17 par. 1 règlement Dublin III (clause de souveraineté). Invoquant à cet égard également une violation des art. 3, 8 et 13 CEDH ainsi que de l'art. 3 CCT, le recourant fait, en substance, valoir qu'il aurait été maltraité par les policiers croates, aurait été enfermé pendant deux jours dans un container et violenté du fait de son tatouage sur (...). Ce dernier élément, reconnaissable par tous, l'empêcherait, selon lui, d'avoir accès à une procédure d'asile juste et équitable. Il invoque également son état de santé précaire marqué en particulier par son parcours migratoire. Enfin, il fait valoir que l'autorité inférieure n'aurait pas respecté ses obligations quant aux droits protégés par l'art. 8 CEDH, vu que son transfert le séparerait de sa soeur.</w:t>
      </w:r>
    </w:p>
    <w:p>
      <w:r>
        <w:rPr>
          <w:b/>
        </w:rPr>
        <w:t>E. 8.1</w:t>
      </w:r>
    </w:p>
    <w:p>
      <w:r>
        <w:t>En vertu de l'art. 17 par. 1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8.2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8.3</w:t>
      </w:r>
    </w:p>
    <w:p>
      <w:r>
        <w:t>En l'occurrence, l'intéressé n'a pas démontré l'existence d'un risque concret que les autorités croates refuseraient de le reprendre en charge et de poursuivre l'examen de sa demande de protection, en violation de la directive Procédure. Il n'a, en particulier,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En outre, le recourant, qui n'est resté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à l'art. 3 CCT. En particulier, il n'a pas apporté d'éléments concrets de nature à corroborer le fait qu'il aurait été personnellement soumis à de mauvais traitements, les allégations, selon lesquelles il aurait été maltraité à cause de son tatouage au (...), se limitant à de simples affirmations. De plus, il n'existe aucune raison concrète et sérieuse d'admettre que son transfert en Croatie, organisé dans le cadre du règlement Dublin III, risquerait de l'exposer à une situation similaire à celle qu'il dit avoir connue après son interpellation en zone frontalière en tant que personne étrangère en situation irrégulière. Au demeurant, si après son transfert en Croatie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8.4</w:t>
      </w:r>
    </w:p>
    <w:p>
      <w:r>
        <w:t>S'agissant des problèmes de santé invoqués, il ressort des journaux de soins versés au dossier que le recourant souffre d'asthme et d'angoisses, qu'un nouveau Ventolin a été commandé en pharmacie et qu'un premier rendez-vous psychologique a été organisé, de manière toutefois non urgente, pour la fin novembre. Le recourant a par ailleurs mentionné durant son entretien Dublin avoir « peut-être » l'hépatite B, sans pour autant fournir un quelconque document médical à ce sujet. En l'état actuel, il sied dès lors de constater que les problèmes qui affectent santé du recourant sans vouloir nullement les minimiser ne sont pas d'une gravité telle, qu'ils permettraient compte tenu de la jurisprudence restrictive en la matière de conclure que ce dernier ne serait pas apte à voyager ou que son transfert vers la Croatie l'exposerait à un danger réel pour sa vie, respectivement sa santé (cf., à ce sujet, Cour EDH précité Paposhvili c. Belgique, par. 183). En effet, il sied de considérer qu'aucune affection physique ou psychique n'a été diagnostiquée, si ce n'est un asthme connu, pour lequel il a été relevé que le recourant « gérait tout seul ». Partant, la situation de ce dernier, telle qu'elle ressort des documents médicaux produits, n'est pas révélatrice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le cas où l'intéressé devait avoir besoin de soins particuliers au moment de son transfert vers la Croatie, il lui appartiendra d'en informer les autorités suisses chargées de l'exécution de cette mesure ; le cas échéant, il incombera à ces autorités de transmettre, sous une forme appropriée, aux autorités croates les renseignements permettant une éventuelle prise en charge médicale spécifique (art. 31 et 32 du règlement Dublin III). Dans ces conditions, c'est à juste titre que le SEM a retenu que les problèmes de santé allégués n'apparaissaient pas d'une gravité telle que le transfert de l'intéressé en Croatie serait illicite au sens restrictif de la jurisprudence précitée.</w:t>
      </w:r>
    </w:p>
    <w:p>
      <w:r>
        <w:rPr>
          <w:b/>
        </w:rPr>
        <w:t>E. 8.5</w:t>
      </w:r>
    </w:p>
    <w:p>
      <w:r>
        <w:t>Il sied encore d'examiner si le transfert du recourant en Croatie risquerait de porter atteinte à l'art. 8 CEDH, disposition protégeant la vie privée et familiale, en raison de la présence de la soeur du recourant en Suisse. En l'espèce, le recourant ne se prévaut d'aucune relation de dépendance particulière vis-à-vis de sa soeur (cf. consid. 6 supra) et il ne ressort du dossier de la cause ni qu'il présenterait une maladie grave ou un handicap nécessitant un soutien que seul sa soeur serait en mesure de lui prodiguer, ni que sa soeur serait tributaire de son appui. Dans ces conditions, la présence de la soeur de l'intéressé en Suisse n'est pas de nature à s'opposer au transfert de ce dernier en Croatie.</w:t>
      </w:r>
    </w:p>
    <w:p>
      <w:r>
        <w:rPr>
          <w:b/>
        </w:rPr>
        <w:t>E. 8.6</w:t>
      </w:r>
    </w:p>
    <w:p>
      <w:r>
        <w:t>Par conséquent, le transfert du recourant vers la Croatie n'est pas contraire aux obligations découlant des dispositions conventionnelles auxquelles la Suisse est liée.</w:t>
      </w:r>
    </w:p>
    <w:p>
      <w:r>
        <w:rPr>
          <w:b/>
        </w:rPr>
        <w:t>E. 8.7</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9</w:t>
      </w:r>
    </w:p>
    <w:p>
      <w:r>
        <w:t>C'est ainsi à bon droit que l'autorité inférieure n'est pas entrée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10</w:t>
      </w:r>
    </w:p>
    <w:p>
      <w:r>
        <w:t>S'avérant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11</w:t>
      </w:r>
    </w:p>
    <w:p>
      <w:r>
        <w:t>En outre, dans la mesure où il a été immédiatement statué sur le fond, les requêtes formulées dans le mémoire de recours tendant à l'octroi de l'effet suspensif et à la dispense du versement d'une avance de frais sont devenues sans objet. Les conclusions du recours étant d'emblée vouées à l'échec, la requête d'assistance judiciaire partielle doit être rejetée.</w:t>
      </w:r>
    </w:p>
    <w:p>
      <w:r>
        <w:rPr>
          <w:b/>
        </w:rPr>
        <w:t>E. 12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