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F-6638/2024 vom 10. Oktober 2024</w:t>
      </w:r>
    </w:p>
    <w:p>
      <w:r>
        <w:t>Bundesverwaltungsgericht, 2024-10-10, DE</w:t>
      </w:r>
    </w:p>
    <w:p>
      <w:r>
        <w:rPr>
          <w:b/>
        </w:rPr>
        <w:t xml:space="preserve">Quelle: </w:t>
      </w:r>
      <w:r>
        <w:t>https://mcp.opencaselaw.ch/entscheid/bvger_F-6638_2024_d20241010</w:t>
      </w:r>
    </w:p>
    <w:p>
      <w:r>
        <w:t>FR: TAF F-6638/2024 du 10 octobre 2024</w:t>
      </w:r>
    </w:p>
    <w:p>
      <w:r>
        <w:t>IT: TAF F-6638/2024 del 10 ottobre 2024</w:t>
      </w:r>
    </w:p>
    <w:p>
      <w:pPr>
        <w:pStyle w:val="Heading2"/>
      </w:pPr>
      <w:r>
        <w:t>Regeste</w:t>
      </w:r>
    </w:p>
    <w:p>
      <w:r>
        <w:t>Zuweisung der Asylsuchenden an die Kantone | Zuweisung der Asylsuchenden an die Kantone; Verfügung des SEM vom 10. Oktober 2024</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t>F-6638/2024 Seite 3</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Umfange, wie er einer niedergelassenen Person ge- stützt auf Art. 37 Abs. 3 AIG zusteht (vgl. BVGE 2012/2 E. 5.2.2; Urteile des BVGer F-4282/2024 vom 12. Juli 2024 E. 2.2; F-1642/2024 vom 16. Mai 2024 E. 3.1; F-724/2020 vom 30. September 2022 E. 4.2.1; F-6485/2020 vom 10. August 2022 E. 3.2; SEM, Handbuch Asyl und Rück- kehr, Artikel F6, Die Gesuche um Kantonswechsel, Ziff. 2.3, S. 9 ff., &lt; https://www.sem.admin.ch/sem/de/home/asyl/asylverfahren/nationale- verfahren/handbuch-asyl-rueckkehr.html &gt;, abgerufen am 30.10.2024; CONSTANTIN HRUSCHKA, in: Marc Spescha et al. [Hrsg.], OFK Migrations- recht, 5. Aufl. 2019, Art. 27 AsylG N. 7; WALTER STÖCKLI, Flüchtlinge und Schutzbedürftige, in: Peter Uebersax et al. [Hrsg.], Handbuch Ausländer- recht, 3. Aufl. 2022 [nachfolgend: Handbuch Ausländerrecht], Rz. 14.100 f. und Rz. 14.141; Schweizerische Flüchtlingshilfe SFH [Hrsg.], Handbuch zum Asyl- und Wegweisungsverfahren, 3. Aufl. 2021, S. 489). Für eine Än- derung der Rechtsprechung (siehe zu den Voraussetzungen hierfür BGE 147 V 342 E. 5.5.1 m.w.H.) besteht keine Veranlassung (zur Kritik</w:t>
      </w:r>
    </w:p>
    <w:p>
      <w:r>
        <w:t>F-6638/2024 Seite 4 siehe immerhin PETER UEBERSAX/STEFAN SCHLEGEL, Einreise und Anwe- senheit, Handbuch Ausländerrecht, Rz. 9.434; Botschaft zur Änderung des Ausländer- und Integrationsgesetzes [Einschränkungen für Reisen ins Ausland und Anpassungen des Status der vorläufigen Aufnahme] vom 26. August 2020, in: BBl 2020 7457, 7470 und 7499; Art. 85b Abs. 5 AIG; siehe zum Ganzen auch Urteile des BVGer F-4282/2024 vom 12. Juli 2024 E. 2.2; F-1642/2024 vom 16. Mai 2024 E. 3.1).</w:t>
      </w:r>
    </w:p>
    <w:p>
      <w:r>
        <w:rPr>
          <w:b/>
        </w:rPr>
        <w:t>E. 2.3</w:t>
      </w:r>
    </w:p>
    <w:p>
      <w:r>
        <w:t>Nachdem ihm die Vorinstanz am 10. Oktober 2024 die Flüchtlingsei- genschaft zuerkannte, hat der Beschwerdeführer grundsätzlich Anspruch auf Wahl seines Aufenthaltsorts und Zuweisung in den von ihm anbegehr- ten Kanton. Vorbehalten bleibt das Vorliegen von Widerrufsgründen nach Art. 63 AIG (vgl. Art. 37 Abs. 3 AIG i.V.m. Art. 58 AsylG, Art. 6 FK und Art. 26 FK; E. 2.2 hiervor; ferner: Urteil des BVGer F-724/2020 vom 30. September 2024 E. 4.3). Die Vorinstanz hat sich in der angefochtenen Verfügung mit der Rechtsstellung des Beschwerdeführers als Flüchtling und seinem Anspruch auf Zuweisung in den anbegehrten Kanton nicht aus- einandergesetzt. Ausserdem hat sie nicht geprüft, ob einer Zuweisung des Beschwerdeführers in den Kanton Zürich Widerrufsgründe im Sinne von Art. 63 AIG entgegenstehen könnten. Insoweit erweist sich der Sachverhalt zudem als unvollständig abgeklärt und der Untersuchungsgrundsatz ist verletzt (Art. 6 AsylG i.V.m. Art. 12 VwVG; Art. 49 Bst. b VwVG; siehe auch Urteile des BVGer F-4282/2024 vom 12. Juli 2024 E. 2.3; F-1642/2024 vom 16. Mai 2024 E. 3.2).</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kann der Beschwerdeführer nicht auf die nachträgliche Stellung eines Kantonswech- selgesuchs verwiesen werden, denn entweder kann er gestützt auf Art. 26 FK seinen Aufenthaltsort wählen, oder nicht (vgl. E. 2.2 hiervor so- wie Art. 60 Abs. 1 AsylG). Dispositiv-Ziffer 3 der angefochtenen Verfügung ist deshalb aufzuheben und die Sache zur vollständigen und richtigen Sachverhaltsabklärung im Sinne der Erwägungen sowie zu neuer Ent- scheidung an die Vorinstanz zurückzuweisen. Diese wird insbesondere ab- zuklären haben, ob einer Zuweisung des Beschwerdeführers in den</w:t>
      </w:r>
    </w:p>
    <w:p>
      <w:r>
        <w:t>F-6638/2024 Seite 5 Kanton Zürich Widerrufsgründe im Sinne von Art. 63 AIG entgegenstehen. Erforderlichenfalls wird sie den betroffenen Aufenthalts- und Zuzugskanton zu einer Stellungnahme betreffend Widerrufsgründe auffordern (vgl. auch SEM, Handbuch Asyl und Rückkehr, Artikel F6, Die Gesuche um Kantons- wechsel, Ziff. 2.3.4, S. 10 f.).</w:t>
      </w:r>
    </w:p>
    <w:p>
      <w:r>
        <w:rPr>
          <w:b/>
        </w:rPr>
        <w:t>E. 3</w:t>
      </w:r>
    </w:p>
    <w:p>
      <w:r>
        <w:t>Die Beschwerde ist gutzuheissen. Dispositiv-Ziffer 3 der angefochtenen Verfügung ist aufzuheben und die Sache zur vollständigen und richtigen Sachverhaltsabklärung im Sinne der Erwägungen sowie zur neuen Ent- scheidung an die Vorinstanz zurückzuweisen.</w:t>
      </w:r>
    </w:p>
    <w:p>
      <w:r>
        <w:rPr>
          <w:b/>
        </w:rPr>
        <w:t>E. 4.1</w:t>
      </w:r>
    </w:p>
    <w:p>
      <w:r>
        <w:t>Entsprechend dem Verfahrensausgang sind keine Kosten zu erheben (Art. 63 Abs. 1 und 2 VwVG). Das Gesuch um Gewährung der unentgeltli- chen Prozessführung (Art. 65 Abs. 1 VwVG) ist gegenstandslos geworden.</w:t>
      </w:r>
    </w:p>
    <w:p>
      <w:r>
        <w:rPr>
          <w:b/>
        </w:rPr>
        <w:t>E. 4.2</w:t>
      </w:r>
    </w:p>
    <w:p>
      <w:r>
        <w:t>Dem obsiegenden Beschwerdeführer ist für die durch die rechtliche Vertretung erwachsenen notwendigen Kosten zulasten der Vorinstanz eine Parteientschädigung zuzusprechen (Art. 64 Abs. 1 VwVG i.V.m. Art. 7 Abs. 1 des Reglements vom 21. Februar 2008 über die Kosten und Ent- schädigungen vor dem Bundesverwaltungsgericht [VGKE, SR 173.320.2]). Mangels Kostennote ist die Parteientschädigung pauschal auf Fr. 1'200.– festzusetzen (Art. 14 Abs. 2 VGKE).</w:t>
      </w:r>
    </w:p>
    <w:p>
      <w:r>
        <w:rPr>
          <w:b/>
        </w:rPr>
        <w:t>E. 5</w:t>
      </w:r>
    </w:p>
    <w:p>
      <w:r>
        <w:t>Dieses Urteil ist endgültig (Art. 83 Bst. d Ziff. 1 BGG).</w:t>
      </w:r>
    </w:p>
    <w:p>
      <w:r>
        <w:t>(Dispositiv: nachfolgende Seite)</w:t>
      </w:r>
    </w:p>
    <w:p>
      <w:r>
        <w:t>F-6638/2024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