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F-6638/2024 vom 25. November 2024</w:t>
      </w:r>
    </w:p>
    <w:p>
      <w:r>
        <w:t>Bundesverwaltungsgericht, 2024-11-25, DE</w:t>
      </w:r>
    </w:p>
    <w:p>
      <w:r>
        <w:rPr>
          <w:b/>
        </w:rPr>
        <w:t xml:space="preserve">Quelle: </w:t>
      </w:r>
      <w:r>
        <w:t>https://mcp.opencaselaw.ch/entscheid/bvger_F-6638_2024</w:t>
      </w:r>
    </w:p>
    <w:p>
      <w:r>
        <w:t>FR: TAF F-6638/2024 du 25 novembre 2024</w:t>
      </w:r>
    </w:p>
    <w:p>
      <w:r>
        <w:t>IT: TAF F-6638/2024 del 25 novembre 2024</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F-6638/2024 Seite 3</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 BVGer F-4282/2024 vom 12. Juli 2024 E. 2.2; F-1642/2024 vom 16. Mai 2024 E. 3.1; F-724/2020 vom 30. September 2022 E. 4.2.1; F-6485/2020 vom 10. August 2022 E. 3.2; SEM, Handbuch Asyl und Rück- kehr, Artikel F6, Die Gesuche um Kantonswechsel, Ziff. 2.3, S. 9 ff., &lt; https://www.sem.admin.ch/sem/de/home/asyl/asylverfahren/nationale- verfahren/handbuch-asyl-rueckkehr.html &gt;, abgerufen am 30.10.2024; CONSTANTIN HRUSCHKA, in: Marc Spescha et al. [Hrsg.], OFK Migrations- recht, 5. Aufl. 2019, Art. 27 AsylG N. 7; WALTER STÖCKLI, Flüchtlinge und Schutzbedürftige, in: Peter Uebersax et al. [Hrsg.], Handbuch Ausländer- recht, 3. Aufl. 2022 [nachfolgend: Handbuch Ausländerrecht], Rz. 14.100 f. und Rz. 14.141; Schweizerische Flüchtlingshilfe SFH [Hrsg.], Handbuch zum Asyl- und Wegweisungsverfahren, 3. Aufl. 2021, S. 489). Für eine Än- derung der Rechtsprechung (siehe zu den Voraussetzungen hierfür BGE 147 V 342 E. 5.5.1 m.w.H.) besteht keine Veranlassung (zur Kritik</w:t>
      </w:r>
    </w:p>
    <w:p>
      <w:r>
        <w:t>F-6638/2024 Seite 4 siehe immerhin PETER UEBERSAX/STEFAN SCHLEGEL, Einreise und Anwe- senheit, Handbuch Ausländerrecht, Rz. 9.434; Botschaft zur Änderung des Ausländer- und Integrationsgesetzes [Einschränkungen für Reisen ins Ausland und Anpassungen des Status der vorläufigen Aufnahme] vom 26. August 2020, in: BBl 2020 7457, 7470 und 7499; Art. 85b Abs. 5 AIG; siehe zum Ganzen auch Urteile des BVGer F-4282/2024 vom 12. Juli 2024 E. 2.2; F-1642/2024 vom 16. Mai 2024 E. 3.1).</w:t>
      </w:r>
    </w:p>
    <w:p>
      <w:r>
        <w:rPr>
          <w:b/>
        </w:rPr>
        <w:t>E. 2.3</w:t>
      </w:r>
    </w:p>
    <w:p>
      <w:r>
        <w:t>Nachdem ihm die Vorinstanz am 10. Oktober 2024 die Flüchtlingsei- genschaft zuerkannte, hat der Beschwerdeführer grundsätzlich Anspruch auf Wahl seines Aufenthaltsorts und Zuweisung in den von ihm anbegehr- 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des Beschwerdeführers als Flüchtling und seinem Anspruch auf Zuweisung in den anbegehrten Kanton nicht aus- einandergesetzt. Ausserdem hat sie nicht geprüft, ob einer Zuweisung des Beschwerdeführers in den Kanton Zürich Widerrufsgründe im Sinne von Art. 63 AIG entgegenstehen könnten. Insoweit erweist sich der Sachverhalt zudem als unvollständig abgeklärt und der Untersuchungsgrundsatz ist verletzt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der Beschwerdeführer nicht auf die nachträgliche Stellung eines Kantonswech- selgesuchs verwiesen werden, denn entweder kann er gestützt auf Art. 26 FK seinen Aufenthaltsort wählen, oder nicht (vgl. E. 2.2 hiervor so- wie Art. 60 Abs. 1 AsylG). Dispositiv-Ziffer 3 der angefochtenen Verfügung ist deshalb aufzuheben und die Sache zur vollständigen und richtigen Sachverhaltsabklärung im Sinne der Erwägungen sowie zu neuer Ent- scheidung an die Vorinstanz zurückzuweisen. Diese wird insbesondere ab- zuklären haben, ob einer Zuweisung des Beschwerdeführers in den</w:t>
      </w:r>
    </w:p>
    <w:p>
      <w:r>
        <w:t>F-6638/2024 Seite 5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 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1'200.– festzusetzen (Art. 14 Abs. 2 VGKE).</w:t>
      </w:r>
    </w:p>
    <w:p>
      <w:r>
        <w:rPr>
          <w:b/>
        </w:rPr>
        <w:t>E. 5</w:t>
      </w:r>
    </w:p>
    <w:p>
      <w:r>
        <w:t>Dieses Urteil ist endgültig (Art. 83 Bst. d Ziff. 1 BGG).</w:t>
      </w:r>
    </w:p>
    <w:p>
      <w:r>
        <w:t>(Dispositiv: nachfolgende Seite)</w:t>
      </w:r>
    </w:p>
    <w:p>
      <w:r>
        <w:t>F-6638/2024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