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F-661/2025 vom 12. Februar 2025</w:t>
      </w:r>
    </w:p>
    <w:p>
      <w:r>
        <w:t>Bundesverwaltungsgericht, 2025-02-12, DE</w:t>
      </w:r>
    </w:p>
    <w:p>
      <w:r>
        <w:rPr>
          <w:b/>
        </w:rPr>
        <w:t xml:space="preserve">Quelle: </w:t>
      </w:r>
      <w:r>
        <w:t>https://mcp.opencaselaw.ch/entscheid/bvger_F-661_2025</w:t>
      </w:r>
    </w:p>
    <w:p>
      <w:r>
        <w:t>FR: TAF F-661/2025 du 12 février 2025</w:t>
      </w:r>
    </w:p>
    <w:p>
      <w:r>
        <w:t>IT: TAF F-661/2025 del 12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monieren, die Vorinstanz habe es unterlassen, sich vertieft und umfassend mit dem Kindswohl auseinanderzusetzen. Damit habe die Vorinstanz den Sachverhalt unvollständig festgestellt. Darüber hinaus habe die Vorinstanz diesbezüglich pauschale Textbausteine verwendet und sich auf substanzlose Argumente abgestützt, womit sie zusätzlich ihre Begründungspflicht verletzt habe.</w:t>
      </w:r>
    </w:p>
    <w:p>
      <w:r>
        <w:rPr>
          <w:b/>
        </w:rPr>
        <w:t>E. 3.2</w:t>
      </w:r>
    </w:p>
    <w:p>
      <w:r>
        <w:t>Die Vorinstanz hat die Umstände in Kroatien mehrfach abgeklärt. Es ist nicht ersichtlich, inwiefern der rechtserhebliche Sachverhalt unrichtig oder unvollständig erhoben worden sein soll. Eine Verletzung des Untersuchungsgrundsatzes liegt nicht vor. Auch eine Verletzung der Begründungspflicht ist zu verneinen. Die Vorinstanz hat in Kenntnis der Situation der beiden Kinder hinreichend begründet, warum eine Wegweisung dem Kindswohl nicht entgegensteht (siehe E. 6.5 hernach). Es war den Beschwerdeführenden ohne weiteres möglich, sich ein Bild über die Tragweite des vorinstanzlichen Entscheids zu machen und diesen sachgerecht anzufechten.</w:t>
      </w:r>
    </w:p>
    <w:p>
      <w:r>
        <w:rPr>
          <w:b/>
        </w:rPr>
        <w:t>E. 3.3</w:t>
      </w:r>
    </w:p>
    <w:p>
      <w:r>
        <w:t>Die formellen Rügen erweisen sich als unbegründet, weshalb von einer Rückweisung der Sache an die Vorinstanz ist abzusehen ist. Der entsprechende Eventualantrag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Nachdem die kroatischen Behörden dem Wiederaufnahmegesuch der Vorinstanz gestützt auf Art. 20 Abs. 5 Dublin-III-VO zugestimmt haben, ist die Zuständigkeit Kroatiens - für die Durchführung des Verfahrens zur Bestimmung des zuständigen Mitgliedstaats - grundsätzlich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 charge" (Aufnahme) als auch in "take back" (Wiederaufnahme)-Verfahren zulässig. Die in der Beschwerde genannten Berichte, die zeitlich nach dem Referenzurteil datieren, vermögen daran nichts zu ändern.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Die Beschwerdeführenden tragen vor, sie seien zu dreissigst - und zwar alleinstehende Männer zusammen mit Familien, Kindern und schwangeren Frauen - in eine Art von Stall eingesperrt worden, in welchem es nur acht Betten gegeben habe. Jede Bitte, beispielsweise um Hygieneartikel für die Kinder, sei von den Wächtern mit Aggression, körperlichen Übergriffen und verbalen Beleidigungen quittiert worden. Erst am zweiten Tag habe die Beschwerdeführerin 1 für sich und die Kinder etwas Brot und Wasser erhalten. Es sei die Vulnerabilität der minderjährigen Beschwerdeführenden 2 und 3 wie auch der Beschwerdeführerin 1 aufgrund des in Kroatien Erlebten sowie die daraus resultierenden psychischen Beschwerden in die Ermessensabwägung miteinzubeziehen. Eine Wegweisung nach Kroatien widerspreche auch dem Kindswohl.</w:t>
      </w:r>
    </w:p>
    <w:p>
      <w:r>
        <w:rPr>
          <w:b/>
        </w:rPr>
        <w:t>E. 6.3</w:t>
      </w:r>
    </w:p>
    <w:p>
      <w:r>
        <w:t>Das Bundesverwaltungsgericht anerkennt angesichts der von den Beschwerdeführenden geschilderten Erlebnisse, dass das Verhalten der kroatischen Grenzbehörden und die Behandlung von Asylsuchenden im Rahmen der Erstaufnahme bis zur Gesuchstellung in Kroatien problematisch sein können. Die Beschwerdeführenden vermögen aber nicht rechtsgenügend darzutun, dass die von ihnen bei einer Rückführung nach Kroatien zu erwartenden Bedingungen derart schlecht wären, dass sie zu einer Verletzung von Art. 3 EMRK führen könnten. Nach der Dublin-Rücküberstellung werden sie sich in einer anderen Situation befinden als bei der ersten Einreise nach Kroatien (vgl. Referenzurteil des BVGer E-1488/2020 vom 22. März 2023 E. 9.4). Bei einer allfälligen vorübergehenden Einschränkung der ihnen zustehenden Aufnahmebedingungen könnten sie sich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Im Übrigen steht ihnen die Möglichkeit offen, die vor Ort tätigen karitativen Organisationen zu kontaktieren.</w:t>
      </w:r>
    </w:p>
    <w:p>
      <w:r>
        <w:rPr>
          <w:b/>
        </w:rPr>
        <w:t>E. 6.4</w:t>
      </w:r>
    </w:p>
    <w:p>
      <w:r>
        <w:t>In Bezug auf die gesundheitliche Situation der Beschwerdeführenden ist auf die zutreffenden Ausführungen der Vorinstanz zu verweisen (vgl. angefochtene Verfügung, S. 7-9).</w:t>
      </w:r>
    </w:p>
    <w:p>
      <w:r>
        <w:rPr>
          <w:b/>
        </w:rPr>
        <w:t>E. 6.5</w:t>
      </w:r>
    </w:p>
    <w:p>
      <w:r>
        <w:t>Auch das Kindswohl steht einer Überstellung nach Kroatien nicht entgegen. So sind den Akten keine Hinweise darauf zu entnehmen, dass die Beschwerdeführenden 2 und 3 dort von der Beschwerdeführerin 1 getrennt werden könnten. Diesbezüglich ist festzuhalten, dass Kroatien Signatarstaat des Übereinkommens über die Rechte des Kindes vom 20. November 1989 (Kinderrechtskonvention, SR 0.107, KRK) ist und seinen daraus erwachsenen Verpflichtungen nachzukommen hat. Aus der KRK kann zudem kein Anspruch auf Aufenthalt im Staat mit den für ein Kind vorteilhaftesten Lebensbedingungen abgeleitet werden (vgl. Urteile des BVGer F-4406/2024 vom 18. Juli 2024 E. 6.4; D-7181/2023 vom 21. Februar 2024 E. 7.5; D-6901/2023 vom 27. Dezember 2023 E. 6.4).</w:t>
      </w:r>
    </w:p>
    <w:p>
      <w:r>
        <w:rPr>
          <w:b/>
        </w:rPr>
        <w:t>E. 6.6</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Es besteht kein Anlass, die Vorinstanz anzuweisen, explizit Zusicherungen hinsichtlich des Ausbleibens einer Inhaftierung, einer angemessenen Unterbringung und medizinischen (psychiatrischen) Behandlung sowie eines fairen und diskriminierungsfreien Zugangs zum Asylverfahren bei den kroatischen Behörden einzuholen (vgl. Referenzurteil E-1488/2020 vom 22. März 2023 E. 12). Das entsprechende Subeventualbegehren ist ebenfalls abzuweisen.</w:t>
      </w:r>
    </w:p>
    <w:p>
      <w:r>
        <w:rPr>
          <w:b/>
        </w:rPr>
        <w:t>E. 8</w:t>
      </w:r>
    </w:p>
    <w:p>
      <w:r>
        <w:t>Die Vorinstanz ist zu Recht auf die Asylgesuche der Beschwerdeführenden nicht eingetreten und hat die Wegweisung nach Kroatien angeordnet.</w:t>
      </w:r>
    </w:p>
    <w:p>
      <w:r>
        <w:rPr>
          <w:b/>
        </w:rPr>
        <w:t>E. 9</w:t>
      </w:r>
    </w:p>
    <w:p>
      <w:r>
        <w:t>Die Beschwerde ist abzuweisen. Mit vorliegendem Urteil fällt der am 31. Januar 2025 angeordnete Vollzugsstopp dahin und der Antrag auf Erteilung der aufschiebenden Wirkung wird gegenstandslos.</w:t>
      </w:r>
    </w:p>
    <w:p>
      <w:r>
        <w:rPr>
          <w:b/>
        </w:rPr>
        <w:t>E. 10.1</w:t>
      </w:r>
    </w:p>
    <w:p>
      <w:r>
        <w:t>Die Begehren erweisen sich als aussichtslos, weshalb das Gesuch um unentgeltliche Prozessführung abzuweisen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