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F-6616/2017 vom 26. November 2019</w:t>
      </w:r>
    </w:p>
    <w:p>
      <w:r>
        <w:t>Bundesverwaltungsgericht, 2019-11-26, FR</w:t>
      </w:r>
    </w:p>
    <w:p>
      <w:r>
        <w:rPr>
          <w:b/>
        </w:rPr>
        <w:t xml:space="preserve">Quelle: </w:t>
      </w:r>
      <w:r>
        <w:t>https://mcp.opencaselaw.ch/entscheid/bvger_F-6616_2017</w:t>
      </w:r>
    </w:p>
    <w:p>
      <w:r>
        <w:t>FR: TAF F-6616/2017 du 26 novembre 2019</w:t>
      </w:r>
    </w:p>
    <w:p>
      <w:r>
        <w:t>IT: TAF F-6616/2017 del 26 novembre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et de l'OIE qui seront citées selon leur teneur valable jusqu'au 31 décembre 2018 (cf., dans ce sens, arrêt du TAF F-3709/2017 du 15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w:t>
      </w:r>
    </w:p>
    <w:p>
      <w:r>
        <w:rPr>
          <w:b/>
        </w:rPr>
        <w:t>E. 4.2</w:t>
      </w:r>
    </w:p>
    <w:p>
      <w:r>
        <w:t>En l'espèce, le SEM avait la compétence d'approuver l'octroi d'une autorisation de séjour en application de l'art. 85 OASA (cf. ATF 141 II 169 consid. 4). Il s'ensuit que, ni le SEM, ni a fortiori le Tribunal, ne sont liés par la décision du SPOP-VD du 16 mai 2017 d'octroyer une autorisation de séjour au recourant et peuvent parfaitement s'écarter de l'appréciation faite par cette autorité.</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RAHEL DIETHELM, La régularisation des sans-papiers à l'aune de l'art. 30 al. 1 let. b LEtr, une analyse de la jurisprudence du Tribunal administratif fédéral, in : Actualité du droit des étrangers, 2016 vol. I, p. 19ss ; cf. aussi arrêts du TAF F-6510/2017 du 6 juin 2019 consid. 5.6 et F-736/2017 du 18 février 2019 consid. 5.6 et les réf. cit.).</w:t>
      </w:r>
    </w:p>
    <w:p>
      <w:r>
        <w:rPr>
          <w:b/>
        </w:rPr>
        <w:t>E. 5.7</w:t>
      </w:r>
    </w:p>
    <w:p>
      <w:r>
        <w:t>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(cf. ATF 128 II 200 consid. 5.3 ; ATAF 2009/2 consid. 9.3.2 ; arrêt du TAF F-4305/2016 du 21 août 2017 consid. 5.3). On notera également que, dans plusieurs arrêts, le Tribunal de céans a retenu qu'une grave maladie (à supposer qu'elle ne puisse être soignée dans le pays d'origine) ne saurait justifier, à elle seule, la reconnaissance d'un cas de rigueur au sens de l'art. 30 LEtr, l'aspect médical ne constituant qu'un élément parmi d'autres (cf. arrêts du TAF F-4305/2016 du 21 août 2017 consid. 5.3 ; F-1284/2015 du 18 juillet 2016 consid. 5.2 ; F-3272/2014 du 18 août 2016 consid. 6.8 ;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LEtr (cf. arrêt du TF 2C_467/2018 du 3 septembre 2018 consid. 2.1 portant sur un cas de rigueur selon l'art. 50 al. 1 let. b LEtr).</w:t>
      </w:r>
    </w:p>
    <w:p>
      <w:r>
        <w:rPr>
          <w:b/>
        </w:rPr>
        <w:t>E. 6.1</w:t>
      </w:r>
    </w:p>
    <w:p>
      <w:r>
        <w:t>Afin de déterminer si le recourant se trouve dans une situation d'extrême gravité au sens de l'art. 30 al. 1 let. b LEtr, il convient - comme on l'a vu (cf. consid. 5.2 supra) - de tenir compte notamment de la durée de son séjour en Suisse, de son intégration aux plans professionnel et social, de sa volonté d'acquérir une formation, de sa situation financière, de son comportement, de sa situation familiale (en particulier de la présence d'enfants scolarisés), de son état de santé, ainsi que de ses possibilités de réintégration dans son pays d'origine (cf. art. 31 al. 1 OASA).</w:t>
      </w:r>
    </w:p>
    <w:p>
      <w:r>
        <w:rPr>
          <w:b/>
        </w:rPr>
        <w:t>E. 6.2</w:t>
      </w:r>
    </w:p>
    <w:p>
      <w:r>
        <w:t>A l'examen du critère relatif à la durée du séjour, le Tribunal de céans constate - au vu des pièces du dossier - que l'intéressé aurait séjourné et travaillé en Suisse un mois sans autorisation idoine durant l'année 2013 et qu'il y serait revenu au mois d'avril 2015 et aurait travaillé illégalement comme manoeuvre pour une entreprise sise à Montreux à partir du mois de mai 2015 jusqu'à l'accident de travail survenu le 24 juillet 2015 (cf. ordonnance pénale du Ministère public de l'arrondissement de Lausanne du 11 décembre 2015). Il est encore à noter que le recourant a donné une date différente de son entrée en Suisse en 2015 (27 juin 2015 selon le formulaire « Rapport d'arrivée » signé de sa main). Depuis lors, il séjourne de manière ininterrompue sur le territoire helvétique (cf. consid. A supra). Même s'il subsiste un doute sur la date exacte de l'arrivée de l'intéressé en Suisse en 2015, il n'en demeure pas moins que la durée d'un séjour illégal (tels les mois passés en Suisse par le recourant jusqu'au dépôt de sa demande de régularisation en novembre 2015), ainsi qu'un séjour précaire (tel celui accompli par l'intéressé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et la jurisprudence citée, voir en outre les ATF 134 II 10 consid. 4.3 et 130 II 281 consid. 3.3, ainsi que la jurisprudence développée en relation avec l'art. 8 CEDH et confirmée, entre autres, par l'arrêt du Tribunal fédéral 2C_204/2014 du 5 mai 2014 consid. 8.1). Dans ces circonstances, le recourant ne saurait tirer parti de la seule durée de son séjour en Suisse, qui est au demeurant très brève,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 dans une situation extrêmement rigoureuse.</w:t>
      </w:r>
    </w:p>
    <w:p>
      <w:r>
        <w:rPr>
          <w:b/>
        </w:rPr>
        <w:t>E. 6.3</w:t>
      </w:r>
    </w:p>
    <w:p>
      <w:r>
        <w:t>S'agissant de l'intégration professionnelle du recourant en Suisse, il ressort de l'ordonnance pénale du Ministère public de l'arrondissement de Lausanne du 11 décembre 2015 que ce dernier a travaillé illégalement en Suisse un mois en 2013 et quelques semaines en 2015 avant l'accident de travail survenu le 24 juillet 2015. Il est à noter que l'intéressé a bénéficié de prestations d'aide d'urgence accordées par le SPOP-VD (cf. décision du 11 décembre 2015) pour la période du 11 décembre 2015 au 14 janvier 2016 et qu'il est aussi pris en charge depuis son accident par son oncle, auprès duquel il habite. En outre, il a fait part de sa volonté de commencer une formation de dessinateur-électricien auprès d'une entreprise sise à Montreux dès l'obtention éventuelle d'une autorisation de séjour, formation qu'il n'a pas entreprise à ce jour, dans la mesure où il doit d'abord compléter ses connaissances écrites en langue française (cf. observations du 29 octobre 2019). Dès lors, il s'impose de constater qu'au vu des seules brèves périodes d'activité lucrative survenues avant l'accident de travail au mois de juillet 2015, le recourant ne saurait se prévaloir d'une intégration professionnelle en ce pays à ce point exceptionnelle qu'elle soit de nature à justifier la reconnaissance d'un cas de rigueur au sens de l'art. 30 al. 1 let. b LEtr.</w:t>
      </w:r>
    </w:p>
    <w:p>
      <w:r>
        <w:rPr>
          <w:b/>
        </w:rPr>
        <w:t>E. 6.4</w:t>
      </w:r>
    </w:p>
    <w:p>
      <w:r>
        <w:t>Quant à l'intégration de X._______ sur le plan social, le Tribunal observe que ce dernier a produit, au cours de la procédure de recours, trois lettres de soutien qui attestent d'une bonne intégration en Suisse. En outre, hormis les infractions aux prescriptions de police des étrangers qu'il a commises en séjournant et en travaillant illégalement en Suisse et pour lesquelles il a été condamné (cf. ordonnance pénale du Ministère public de l'arrondissement de Lausanne du 11 décembre 2015), le recourant n'a pas fait l'objet d'autres condamnations pénales. A cela s'ajoute que le prénommé a suivi des cours de français auprès de la fondation ECAP Vaud du 30 août au 20 décembre 2016 (cf. attestation du 20 décembre 2016) et a réussi le test de niveau de français A 2 (cf. attestation de l'ECAP Vaud du 5 mai 2017). S'il est certes avéré que le recourant s'est toujours comporté de manière correcte (à l'exception des infractions qu'il a commises en séjournant et en travaillant en Suisse sans autorisation) et a tissé quelques liens avec son milieu, il n'en demeure pas moins que son intégration sociale ne saurait être qualifiée de particulière et remarquable. A ce propos, outre quelques relations d'amitié, il n'a fait valoir aucune participation active à la vie culturelle locale. Dès lors, force est de constater que le prénommé n'a pas démontré qu'il se serait particulièrement investi dans la vie associative et culturelle de son canton ou de sa commune de résidence, en participant activement à des sociétés locales, par exemple. Or, il sied de rappeler ici qu'il est parfaitement normal qu'une personne ayant séjourné, à l'instar du recourant,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jurisprudence citée).</w:t>
      </w:r>
    </w:p>
    <w:p>
      <w:r>
        <w:rPr>
          <w:b/>
        </w:rPr>
        <w:t>E. 6.5</w:t>
      </w:r>
    </w:p>
    <w:p>
      <w:r>
        <w:t>S'agissant de la situation personnelle et familiale du recourant, il convient de relever que si celui-ci séjourne en Suisse depuis 2015, il a néanmoins passé la majeure partie de son existence en Macédoine. En effet, l'intéressé a vécu les 21 premières années de sa vie dans son pays d'origine, notamment son adolescence et le début de sa vie d'adulte, qui sont les années décisives durant lesquelles se forge la personnalité en fonction notamment de l'environnement socioculturel (cf. ATF 123 II 125 consid. 5b/aa ; ATAF 2007/45 précité consid. 7.6). C'est donc nécessairement dans sa patrie - où il est né, a accompli toute sa scolarité obligatoire, puis a suivi une formation professionnelle (cf. attestation de l'école municipale technique à Z._______ du 30 août 2013 jointe à ses déterminations du 18 juillet 2017) - qu'il a ses principales attaches sociales et culturelles. A cela s'ajoute que, même si le recourant a des attaches familiales en Suisse où résident notamment deux oncles, une tante, un frère, ainsi qu'une belle-soeur (cf. courrier du 28 octobre 2019), il dispose encore en Macédoine de ses parents, de deux oncles et des cousins (cf. ibid.). En outre, la situation familiale du recourant, qui est célibataire et sans charge familiale, ne saurait justifier la régularisation de ses conditions de séjour en Suisse. Par ailleurs, les membres de la famille de l'intéressé résidant sur le sol helvétique pourront lui rendre visite en Macédoine et les contacts pourront également être maintenus par d'autres moyens tels que la communication téléphonique et les visioconférences.</w:t>
      </w:r>
    </w:p>
    <w:p>
      <w:r>
        <w:rPr>
          <w:b/>
        </w:rPr>
        <w:t>E. 6.6</w:t>
      </w:r>
    </w:p>
    <w:p>
      <w:r>
        <w:t>En ce qui concerne l'état de santé du recourant, il ne ressort pas du dossier que celui-ci souffrirait actuellement de problèmes médicaux importants de nature à le placer, en cas de retour dans son pays d'origine, dans une situation qui entraînerait une péjoration massive de son état de santé, mettant en danger le pronostic vital (cf. consid. 5.7 supra), étant précisé que, selon la jurisprudence, le seul fait de pouvoir obtenir en Suisse des prestations médicales supérieures à celles offertes dans le pays d'origine ne suffit pas à justifier la reconnaissance d'un cas de rigueur (cf. consid. 4.7 supra, et la jurisprudence citée). Selon les différents rapports et certificats médicaux produits au cours de la procédure, il appert que l'intéressé, après avoir subi une amputation trans-tibiale de la jambe droite à la suite de son accident de travail survenu le 24 juillet 2015, a d'abord suivi une thérapie physique (cf. rapport de la clinique romande de réadaptation du 5 novembre 2015), puis un traitement psychiatrique et psychothérapeutique suite à un état de stress post-traumatique (cf. rapport médical du 20 juillet 2016 du Centre de psychiatrie intégrée à Montreux). Depuis lors, le recourant suit des séances de physiothérapie trois fois par semaine (cf. certificat médical du 9 octobre 2019), consulte régulièrement son médecin généraliste (cf. ibid et certificat médical du 18 décembre 2017), a été suivi sur le plan psychologique pour une symptomatologie dépressive liée à son état de stress post-traumatique (cf. certificat médical du 16 janvier 2018) et poursuit actuellement (depuis le 27 septembre 2019) un travail psychothérapeutique sur les séquelles de son accident (cf. attestation médicale du 16 octobre 2018). Il ne ressort cependant pas des écritures ayant été adressées au Tribunal de céans dans le cadre de la procédure de recours que l'intéressé présenterait actuellement une pathologie grave nécessitant impérativement un traitement médical qu'il ne pourrait pas obtenir en Macédoine, même si un rapport médical du médecin généraliste mentionne que les structures médicales dans le pays d'origine du recourant ne sont pas « optimales » pour le cas du patient (cf. rapport médical du 4 mai 2017, ch. 5.2). Le Tribunal se doit de souligner que, selon la jurisprudence citée au consid. 4.7, de graves problèmes de santé nécessitant, pendant une longue période, des soins permanents ou des mesures médicales d'urgence indisponibles dans le pays d'origine peuvent certes, selon les circonstances, justifier la reconnaissance d'une situation d'extrême gravité au sens de l'art. 30 al. 1 let. b LEtr. Il convient toutefois de mentionner, dans ce contexte, qu'une grave maladie ou pathologie (à supposer qu'elle ne puisse être soignée dans le pays d'origine) ne saurait justifier, à elle seule, la reconnaissance d'un cas de rigueur au sens des dispositions précitées, dès lors que l'aspect médical ne constitue qu'un élément parmi d'autres à prendre en considération (cf. ATF 128 II 200 consid. 5.3 et les références citées).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(cf. à ce sujet l'arrêt du Tribunal fédéral 2A.214/2002 du 23 août 2002 consid. 3.4 et l'arrêt du TAF C-931/2009 du 27 janvier 2012 consid. 6.7.2). Or, le recourant n'ayant pas démontré qu'il ne pourrait bénéficier d'un traitement adéquat dans son pays d'origine, soit la poursuite de ses séances de physiothérapie, la prise de médicaments et son traitement psychothérapeutique, son état de santé n'est, dans ces circonstances, pas assimilable à une situation d'extrême gravité propre à fonder l'application de l'art. 30 al. 1 let. b LEtr (cf. en ce sens arrêt du Tribunal administratif fédéral C-909/2012 du 15 avril 2013 consid. 9.3).</w:t>
      </w:r>
    </w:p>
    <w:p>
      <w:r>
        <w:rPr>
          <w:b/>
        </w:rPr>
        <w:t>E. 6.7</w:t>
      </w:r>
    </w:p>
    <w:p>
      <w:r>
        <w:t>Quant aux possibilités de réintégration du recourant dans son pays d'origine au sens de l'art. 31 al. 1 let. g OASA,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 ce propos, il est à noter qu'au vu du handicap majeur dont souffre le recourant suite à son accident survenu en Suisse, sa situation, en cas de retour dans son pays d'origine, s'en trouvera profondément affectée. Or, il est à noter que le SEM, dans la décision querellée et dans ses observations ultérieures, n'a procédé à aucun examen sur ce point, pourtant capital dans la présente affaire, afin de déterminer les possibilités de réintégration de l'intéressé en Macédoine eu égard aux suites de son accident, conformément à l'article précité. La motivation de la décision entreprise sur ce point est inexistante au regard des particularités inhérentes à la présente affaire, notamment s'agissant de la localisation du réseau social, de l'existence d'emplois potentiels, de la localisation géographique de ces derniers, éventuellement des possibilités de formation supplémentaire. Dès lors, le Tribunal estime que l'état des faits concernant les possibilités de réintégration du recourant dans son pays d'origine n'a pas été établi pour qu'une décision soit rendue en pleine connaissance de cause in casu.</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l'ATAF 2011/42 consid. 8). De surcroît, la réforme est inadmissible lorsque des questions pertinentes doivent être tranchées pour la première fois et que l'autorité inférieure dispose d'un certain pouvoir d'appréciation (cf. ATAF 2011/42 consid. 8, 2010/46 consid. 4, et réf. cit.). Il importe à cet égard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l'ATAF 2011/54 consid. 5.1).</w:t>
      </w:r>
    </w:p>
    <w:p>
      <w:r>
        <w:rPr>
          <w:b/>
        </w:rPr>
        <w:t>E. 7.2</w:t>
      </w:r>
    </w:p>
    <w:p>
      <w:r>
        <w:t>Compte tenu des carences constatées (cf. consid. 6.7 supra), il se justifie de renvoyer l'affaire à l'autorité inférieure pour instruction complémentaire afin d'établir les possibilités de réintégration du recourant en Macédoine, eu égard à son handicap physique, tant au niveau de la réinsertion professionnelle, compte tenu de sa formation initiale dans son pays d'origine et des possibilités d'entreprendre une nouvelle formation selon les compétences acquises antérieurement, qu'au niveau de la réintégration sociale par une éventuelle prise en charge de l'Etat en lien avec les assurances sociales macédoniennes. Par ailleurs, si un éventuel droit à une rente d'invalidité lui est octroyé par les autorités suisses compétentes (cf. courriel du 25 juin 2019 de la SUVA), il conviendra d'examiner si l'exportation d'une telle rente en Macédoine pouvant aider à sa réintégration est possible. Ensuite, une nouvelle décision sera prise, dans laquelle dite autorité procèdera à une pesée générale des critères déterminants au sens de l'art. 30 al. 1 let. b LEtr et de l'art. 31 OASA. A toutes fins utiles, il est rappelé aux parties que l'autorité intimée est liée par ce qui a déjà été tranché dans le cadre du présent arrêt (cf. notamment consid. 6) et qu'elle est donc tenue de fonder sa nouvelle décision sur les considérants de celui-ci (cf. arrêt du TF 2C_519/2013 du 3 septembre 2013 consid. 2.1).</w:t>
      </w:r>
    </w:p>
    <w:p>
      <w:r>
        <w:rPr>
          <w:b/>
        </w:rPr>
        <w:t>E. 8.1</w:t>
      </w:r>
    </w:p>
    <w:p>
      <w:r>
        <w:t>Au vu de ce qui précède, le recours est admis, la décision de l'autorité inférieure du 26 octobre 2017 annulée et la cause renvoyée à cette autorité pour complément d'instruction et nouvelle décision dans le sens des considérants (art. 61 al. 1 in fine PA).</w:t>
      </w:r>
    </w:p>
    <w:p>
      <w:r>
        <w:rPr>
          <w:b/>
        </w:rPr>
        <w:t>E. 8.2</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w:t>
      </w:r>
    </w:p>
    <w:p>
      <w:r>
        <w:rPr>
          <w:b/>
        </w:rPr>
        <w:t>E. 8.3</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fourni par le mandataire, le Tribunal considère, au vu de l'art. 8 ss FITAF, que le versement d'un montant de 2'200 francs (TVA comprise)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