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F-6606/2024 vom 25. Oktober 2024</w:t>
      </w:r>
    </w:p>
    <w:p>
      <w:r>
        <w:t>Bundesverwaltungsgericht, 2024-10-25, DE</w:t>
      </w:r>
    </w:p>
    <w:p>
      <w:r>
        <w:rPr>
          <w:b/>
        </w:rPr>
        <w:t xml:space="preserve">Quelle: </w:t>
      </w:r>
      <w:r>
        <w:t>https://mcp.opencaselaw.ch/entscheid/bvger_F-6606_2024</w:t>
      </w:r>
    </w:p>
    <w:p>
      <w:r>
        <w:t>FR: TAF F-6606/2024 du 25 octobre 2024</w:t>
      </w:r>
    </w:p>
    <w:p>
      <w:r>
        <w:t>IT: TAF F-6606/2024 del 25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Beschwerdeführenden sind zur Einreichung der Beschwerde legitimiert (Art. 105 AsylG i.V.m. Art. 48 Abs. 1 VwVG). Obwohl die in der Beschwerdeschrift aufgeführten Rechtsbegehren nicht in einer Amtssprache des Bundes verfasst sind, ist vorliegend auf eine Beschwerdeverbesserung zu verzichten. So handelt es sich um eine Laienbeschwerde und der genaue Wortlaut der Rechtsbegehren ist mühelos zu ermitteln (vgl. https://www.fluechtlingshilfe.ch/hilfe-fuer-schutzsuchende/beschwerdeunterlagen). Auf die frist- und formgerecht eingereichte Beschwerde ist demnach - unter Vorbehalt nachfolgender Erwägung - einzutreten (Art. 108 Abs. 3 AsylG i.V.m. Art. 52 Abs. 1 VwVG).</w:t>
      </w:r>
    </w:p>
    <w:p>
      <w:r>
        <w:rPr>
          <w:b/>
        </w:rPr>
        <w:t>E. 1.4</w:t>
      </w:r>
    </w:p>
    <w:p>
      <w:r>
        <w:t>Verfahrensgegenstand ist der Nichteintretensentscheid des SEM gemäss Art. 31a Abs. 1 Bst. b AsylG. Da das Fehlen von Überstellungshindernissen bereits Voraussetzung dieses Nichteintretensentscheides ist, sind allfällige Vollzugshindernisse gemäss Art. 83 Abs. 3 und 4 AIG (SR 142.20) unter diesen Umständen nicht mehr zu prüfen (vgl. BVGE 2015/18 E. 5.2 m.w.H.). Auch die Feststellung der Flüchtlingseigenschaft oder des Asyls waren nicht Gegenstand des vorliegenden Verfahrens. Mithin stellen die Anträge, es sei die Flüchtlingseigenschaft anzuerkennen, Asyl zu gewähren sowie die Unzulässigkeit, Unzumutbarkeit und Unmöglichkeit des Wegweisungsvollzugs festzustellen und die vorläufige Aufnahme anzuordnen, eine unzulässige Erweiterung des Streitgegenstandes dar, weshalb auf diese nicht einzutreten ist. Ebenfalls nicht einzutreten ist auf die Anträge, die Vorinstanz sei vorsorglich anzuweisen, jegliche Kontaktnahme mit den heimatlichen Behörden bis zum Endentscheid im vorliegenden Beschwerdeverfahren zu unterlassen, und ihnen eventualiter in einem separaten Entscheid Auskunft über bereits vorgenommene Kontaktaufnahmen zu erteilen. So wird aus den Akten weder ersichtlich, dass die Vorinstanz mit den afghanischen Behörden Kontakt aufgenommen hätte, noch Gründe vorliegen, die eine solche Kontaktnahme überhaupt nötig erscheinen lassen würden (vgl. Art. 97 Abs. 2 AsylG).</w:t>
      </w:r>
    </w:p>
    <w:p>
      <w:r>
        <w:rPr>
          <w:b/>
        </w:rPr>
        <w:t>E. 1.5</w:t>
      </w:r>
    </w:p>
    <w:p>
      <w:r>
        <w:t>Nachdem den Beschwerdeführenden mit dem angefochtenen Entscheid die editionspflichtigen Akten ausgehändigt wurden - welche der Beschwerde beigelegt wurden - ist das gestellte Gesuch um Akteneinsicht abzuweisen.</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w:t>
      </w:r>
    </w:p>
    <w:p>
      <w:r>
        <w:t>Die grundsätzliche Zuständigkeit Kroatiens zur Fortführung des Verfahrens zur Bestimmung des zuständigen Mitgliedstaates ist vorliegend gegeben (vgl. Art. 20 Abs. 5 Dublin-III-VO, Art. 23 Dublin-III-VO). Der Beschwerdeführer 3 befindet sich den Akten zufolge auf eigenen Wunsch und mit seinem Einverständnis in der Obhut seiner erwachsenen Schwester und darf auf deren Unterstützung zählen (vgl. Bst. A.g hiervor sowie SEM act. 47, 51 und 62 S. 3 f.). Eine gemeinsame Wegweisung mit den übrigen Beschwerdeführenden nach Kroatien ist demnach eine mit dem Kindeswohl ohne Weiteres zu vereinbarende Lösung. Der Beschwerdeführer 3 kann nicht als unbegleiteter Minderjähriger im Sinne der Art. 2 Bst. j und Art. 8 Dublin-III-VO betrachtet werden. Soweit die Beschwerdeführenden mo-nieren, in Kroatien zur Abgabe der Fingerabdrücke gezwungen worden zu sein, sind sie darauf hinzuweisen, dass sich die Abnahme der Fingerabdrücke von illegal einreisenden Ausländerinnen und Ausländern auf Art. 9 Abs. 1 und Art. 14 Abs. 1 der Verordnung (EU) Nr. 603/2013 des Europäischen Parlaments und des Rats vom 26. Juni 2013 (Eurodac-Verordnung) stützt und grundsätzlich rechtmässig erfolgt (vgl. statt vieler: Urteil des BVGer F-4364/2023 vom 24. August 2023 E. 5.5). Die Abnahme der Fingerabdrücke erweist sich dabei ungeachtet eines fehlenden Willens, ein Asylgesuch zu stellen, als zuständigkeitsbegründend beziehungsweise -relevant, zumal die Dublin-III-VO kein Recht einräumt, den für die Durchführung des Asylverfahrens zuständigen Staat selber auswählen zu können (vgl. BVGE 2010/45 E. 8.3).</w:t>
      </w:r>
    </w:p>
    <w:p>
      <w:r>
        <w:rPr>
          <w:b/>
        </w:rPr>
        <w:t>E. 6</w:t>
      </w:r>
    </w:p>
    <w:p>
      <w:r>
        <w:t>Im Lichte von Art. 3 Abs. 2 Dublin-III-VO ist sodann zu prüfen, ob es wesentliche Gründe für die Annahme gibt, das Asylverfahren und die Aufnahmebedingungen für Asylsuchende in Kroatien würden - wie auf Beschwerdeebene sinngemäss geltend gemacht - systemische Schwachstellen aufweisen, die eine Gefahr einer unmenschlichen oder entwürdigenden Behandlung im Sinne des Art. 4 der EU-Grundrechtecharta (entspricht Art. 3 EMRK) mit sich bringen würden.</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geht derzeit - auch unter Berücksichtigung kritischer Berichte nationaler und internationaler Organisationen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Urteil E-1488/2020 E. 9 sowie insbesondere E. 9.4.2 m.H. auf die Rechtsprechung anderer Dublin-Staaten). Die nicht weiter belegten Ausführungen der Beschwerdeführenden zu erlebter Polizeigewalt gegenüber anderen Flüchtlingen und allgemein schlechter Behandlung im Zusammenhang mit ihrer illegalen Einreise sind nicht geeignet, die Annahme zu widerlegen, wonach Kroatien seinen völkerrechtlichen Verpflichtungen im Rahmen eines Asylverfahrens nachkommt (vgl. Referenzurteil E-1488/2020 E. 8 und E. 9.5). Gegen das Fehlverhalten von einzelnen Polizeibeamten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6.3</w:t>
      </w:r>
    </w:p>
    <w:p>
      <w:r>
        <w:t>Unter diesen Umständen ist die Anwendung von Art. 3 Abs. 2 Dublin-III-VO nicht gerechtfertigt.</w:t>
      </w:r>
    </w:p>
    <w:p>
      <w:r>
        <w:rPr>
          <w:b/>
        </w:rPr>
        <w:t>E. 7.1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7.2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wonach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das geltend gemachte Verhalten seitens der kroatischen Beamten, das sich im Übrigen auf Vorkommnisse nach ihrer illegalen Einreise und nicht auf den Aufenthalt in den dortigen Aufenthaltsstrukturen bezieht. Die Kinder (Beschwerdeführende 4 und 5) im Alter von (...) und (...) Jahren sind aufgrund ihres Alters sowie der derzeitigen Lebensumstände noch stark auf ihre Eltern fixiert und angesichts der kurzen Aufenthaltsdauer in der Schweiz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in Kroatien die Gefahr bestehen könnte, die Kinder würden von ihren Eltern getrennt. Es kann in Übereinstimmung mit der aktuellen Rechtsprechung davon ausgegangen werden, dass sie Zugang zu adäquater Unterbringung und Unterstützung erhalten werden (vgl. Urteil des BVGer F-1562/2024 vom 18. März 2024 E. 9.2 m.H.). Gleiches gilt im Resultat auch für den in der Obhut der Beschwerdeführerin 2 stehenden minderjährigen Beschwerdeführer 3 (Bruder der Beschwerdeführerin 2; vgl. auch E. 5 hiervor). Schliesslich ist festzuhalten, dass allfällige psychische Probleme der Beschwerdeführenden angesichts der Erlebnisse leider nicht überraschen. Es sind indes keine Hinweise auf unverzüglich behandlungsbedürftige Beeinträchtigungen ersichtlich (vgl. nachstehend E. 7.3).</w:t>
      </w:r>
    </w:p>
    <w:p>
      <w:r>
        <w:rPr>
          <w:b/>
        </w:rPr>
        <w:t>E. 7.3.1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das Urteil Savran gegen Dänemark vom 7. Dezember 2021, Grosse Kammer, 57467/15, §§ 121 ff.).</w:t>
      </w:r>
    </w:p>
    <w:p>
      <w:r>
        <w:rPr>
          <w:b/>
        </w:rPr>
        <w:t>E. 7.3.2</w:t>
      </w:r>
    </w:p>
    <w:p>
      <w:r>
        <w:t>Die Beschwerdeführenden bringen hierzu vor, sie seien aufgrund der Erlebnisse in Kroatien psychisch belastet. Gemäss der Abklärung des SEM beim Gesundheitsdienst des BAZ vom 15. Oktober 2024 seien bei den Beschwerdeführenden 1, 3 und 4 keine gesundheitlichen Beschwerden bekannt. Die Beschwerdeführerinnen 2 und 5 würden am 17. und 25. Oktober 2024 Nachkontrolltermine wahrnehmen, um den weiteren Verlauf in Bezug auf die Behandlung der diagnostizierten (Nennung Leiden) festzulegen. Weitere Arztberichte als die bereits eingereichten würden nicht vorliegen. Andere Arzttermine als die Erwähnten seien nicht ausstehend (vgl. SEM act. 58). Die eingereichten ärztlichen Unterlagen beziehen sich überwiegend auf die Diagnose und Behandlung der festgestellten (Nennung Leiden) der Beschwerdeführerinnen 2 und 5 (vgl. SEM act. 52-60).</w:t>
      </w:r>
    </w:p>
    <w:p>
      <w:r>
        <w:rPr>
          <w:b/>
        </w:rPr>
        <w:t>E. 7.3.3</w:t>
      </w:r>
    </w:p>
    <w:p>
      <w:r>
        <w:t>Die erwähnten medizinischen Probleme sind aufgrund der Aktenlage nicht derart schwerwiegend, dass davon ausgegangen werden müsste, die Beschwerdeführerinnen 2 und 5 könnten nicht auch in Kroatien adäquat (weiter-)behandelt werden, wo grundsätzlich eine durchaus ausreichende medizinische Infrastruktur zur Verfügung steht (vgl. insbes. Referenzurteil E-1488/2020 a.a.O. E. 10.2, statt vieler das Urteil BVGer E-2952/2023 vom 31. Mai 2023 E. 7.3, je m.w.H.). Nebst den staatlichen Einrichtungen bestehen in Kroatien auch Angebote von Nichtregierungsorganisationen für die psychische Betreuung. Es kann davon ausgegangen werden, dass den Beschwerdeführenden eine angemessene medizinische Versorgung und eine allenfalls benötigte psychologische Therapie zur Verfügung stehen wird (vgl. statt vieler: Urteil des BVGer F-663/2023 vom 17. Januar 2024 E. 4.3 m.w.H.). Es gibt keine Anhaltspunkte dafür, dass ihnen dort nach einer Überstellung eine allenfalls erforderliche medizinische Behandlung verweigert würde, zumal die Mitgliedstaaten zur Erbringung medizinischer Leistungen verpflichtet sind (vgl. Art. 26 Aufnahmerichtlinie). Vor diesem Hintergrund kann auf die Nachforderung von zusätzlichen medizinischen Berichten mit Blick auf allfällige weitere ärztliche Termine respektive Behandlungen verzichtet werden (antizipierte Beweiswürdigung; vgl. BVGE 2008/24 E. 7.2 S. 357). Der medizinische Sachverhalt ist demnach als genügend abgeklärt zu erachten.</w:t>
      </w:r>
    </w:p>
    <w:p>
      <w:r>
        <w:rPr>
          <w:b/>
        </w:rPr>
        <w:t>E. 7.4</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8.2</w:t>
      </w:r>
    </w:p>
    <w:p>
      <w:r>
        <w:t>Nach dem Gesagten bleibt Kroatien der für die Behandlung der Asylgesuche der Beschwerdeführenden zuständige Mitgliedstaat gemäss Dublin-III-VO.</w:t>
      </w:r>
    </w:p>
    <w:p>
      <w:r>
        <w:rPr>
          <w:b/>
        </w:rPr>
        <w:t>E. 9</w:t>
      </w:r>
    </w:p>
    <w:p>
      <w:r>
        <w:t>Das SEM ist zu Recht in Anwendung von Art. 31a Abs. 1 Bst. b AsylG auf die Asylgesuche der Beschwerdeführenden nicht eingetreten. Die Überstellung nach Kroatien wurde in Anwendung von Art. 44 AsylG ebenfalls zu Recht angeordnet.</w:t>
      </w:r>
    </w:p>
    <w:p>
      <w:r>
        <w:rPr>
          <w:b/>
        </w:rPr>
        <w:t>E. 10</w:t>
      </w:r>
    </w:p>
    <w:p>
      <w:r>
        <w:t>Die Beschwerde ist abzuweisen, soweit darauf einzutreten ist, und die Verfügung des SEM zu bestätigen.</w:t>
      </w:r>
    </w:p>
    <w:p>
      <w:r>
        <w:rPr>
          <w:b/>
        </w:rPr>
        <w:t>E. 11</w:t>
      </w:r>
    </w:p>
    <w:p>
      <w:r>
        <w:t>Mit dem Entscheid in der Hauptsache sind die Gesuche um Erteilung der aufschiebenden Wirkung und um Verzicht auf die Erhebung eines Kostenvorschusses gegenstandslos geworden. Der am 22. Oktober 2024 verfügte einstweilige Vollzugsstopp fällt mit dem vorliegenden Urteil dahin.</w:t>
      </w:r>
    </w:p>
    <w:p>
      <w:r>
        <w:rPr>
          <w:b/>
        </w:rPr>
        <w:t>E. 12</w:t>
      </w:r>
    </w:p>
    <w:p>
      <w:r>
        <w:t>Das Gesuch um Gewährung der unentgeltlichen Rechtspflege ist abzuweisen, da die Beschwerde gemäss den vorstehenden Erwägungen als aussichtslos zu bezeichnen war. Daher fehlt es, unbesehen der finanziellen Verhältnisse der Beschwerdeführenden, an einer gesetzlichen Voraussetzung gemäss Art. 65 Abs. 1 und 2 VwVG. Bei diesem Ausgang des Verfahrens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