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F-6605/2023 vom 31. Oktober 2023</w:t>
      </w:r>
    </w:p>
    <w:p>
      <w:r>
        <w:t>Bundesverwaltungsgericht, 2023-10-31, DE</w:t>
      </w:r>
    </w:p>
    <w:p>
      <w:r>
        <w:rPr>
          <w:b/>
        </w:rPr>
        <w:t xml:space="preserve">Quelle: </w:t>
      </w:r>
      <w:r>
        <w:t>https://mcp.opencaselaw.ch/entscheid/bvger_F-6605_2023_d20231031</w:t>
      </w:r>
    </w:p>
    <w:p>
      <w:r>
        <w:t>FR: TAF F-6605/2023 du 31 octobre 2023</w:t>
      </w:r>
    </w:p>
    <w:p>
      <w:r>
        <w:t>IT: TAF F-6605/2023 del 31 ottobre 2023</w:t>
      </w:r>
    </w:p>
    <w:p>
      <w:pPr>
        <w:pStyle w:val="Heading2"/>
      </w:pPr>
      <w:r>
        <w:t>Regeste</w:t>
      </w:r>
    </w:p>
    <w:p>
      <w:r>
        <w:t>Schengen-Visum | Schengen-Visum; Verfügung des SEM vom 31. Oktober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Beschwerdeführenden haben am vorangegangenen Einsprache- verfahren teilgenommen und sind als Gastgeber der Gesuchstellenden durch die angefochtene Verfügung besonders berührt. Sie sind zur Erhe- bung des Rechtsmittels legitimiert, zumal die Gesuchstellenden nach wie vor einen Besuch in der Schweiz anstreben (Art. 48 Abs. 1 VwVG).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t>F-6605/2023 Seite 4</w:t>
      </w:r>
    </w:p>
    <w:p>
      <w:r>
        <w:rPr>
          <w:b/>
        </w:rPr>
        <w:t>E. 3.1</w:t>
      </w:r>
    </w:p>
    <w:p>
      <w:r>
        <w:t>Der angefochtenen Verfügung liegen die Gesuche türkischer Staatsan- gehöriger um Erteilung von Visa zu Besuchszwecken in der Schweiz zu- grunde. Da sich die Gesuchstellenden nicht auf die EU/EFTA-Personen- freizügigkeitsabkommen berufen können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w:t>
      </w:r>
    </w:p>
    <w:p>
      <w:r>
        <w:t>F-6605/2023 Seite 5 ausgeschrieben sein und keine Gefahr für die öffentliche Ordnung, die in- nere Sicherheit, die öffentliche Gesundheit oder die internationalen Bezie- hungen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4</w:t>
      </w:r>
    </w:p>
    <w:p>
      <w:r>
        <w:t>Das SEM erwog in seiner Verfügung vom 31. Oktober 2023, es bestehe keine hinreichende Gewähr für eine fristgerechte Wiederausreise der tür- kischen Gesuchstellenden aus dem Schengen-Raum. Weiter seien die Be- schwerdeführenden und die zusätzlichen Garanten gemäss Mitteilung der kantonalen Migrationsbehörde nicht in der Lage, den finanziellen Verpflich- tungen, welche allenfalls im vorliegenden Zusammenhang entstehen könn- ten, nachzukommen. Ebenso könnten die Gesuchstellenden nicht nach- weisen, dass sie genügend finanzielle Mittel für die Bestreitung des Le- bensunterhalts während ihres Aufenthalts besitzen würden (SEM act. 7/145).</w:t>
      </w:r>
    </w:p>
    <w:p>
      <w:r>
        <w:t>F-6605/2023 Seite 6</w:t>
      </w:r>
    </w:p>
    <w:p>
      <w:r>
        <w:rPr>
          <w:b/>
        </w:rPr>
        <w:t>E. 5</w:t>
      </w:r>
    </w:p>
    <w:p>
      <w:r>
        <w:t>Bei der Beurteilung des Kriteriums der gesicherten Wiederausreise muss ein zukünftiges Verhalten beurteilt werden. Hierzu sind lediglich Prognosen möglich, wobei sämtliche Umstände des konkreten Einzelfalles zu würdi- gen sind. Bei Einreisegesuchen von Personen aus Regionen mit politisch und/oder wirtschaftlich ungünstigen Verhältnissen rechtfertigt sich grund- sätzlich eine strenge Praxis, da die persönliche Interessenlage in solchen Fällen häufig nicht mit dem Ziel und Zweck einer zeitlich befristeten Einrei- sebewilligung im Einklang steht (BVGE 2014/1 E. 6.1 m.H.).</w:t>
      </w:r>
    </w:p>
    <w:p>
      <w:r>
        <w:rPr>
          <w:b/>
        </w:rPr>
        <w:t>E. 5.1</w:t>
      </w:r>
    </w:p>
    <w:p>
      <w:r>
        <w:t>Die Türkei befindet sich in einer schwierigen wirtschaftlichen und si- cherheitspolitischen Lage. Nach der Wiederwahl im Mai 2023 vollzog Staatspräsident Erdoğan einen Kurswechsel hin zu einer restriktiven Geld- politik, mit dem obersten Ziel, die grosse Inflation zu bekämpfen. Die Nied- rigzinspolitik der Vorjahre hat Spuren hinterlassen. Sie befeuerte die Inflation und den Abwertungsdruck auf die türkische Lira. Die Nettoreserven der Zent- ralbank sind gesunken, die Auslandsverschuldung und Abhängigkeit von ausländischen Finanzhilfen ist hoch (vgl. https://www.gtai.de/de/trade/tuer- kei-wirtschaft/wirtschaftsausblick, abgerufen im August 2024). Weiterhin an- gespannt bleibt auch die innenpolitische Situation. In den grösseren Städ- ten kann es wegen innenpolitischer Spannungen zu Demonstrationen und Ausschreitungen kommen. Die bewaffneten Konflikte in den Nachbarlän- dern Syrien und Irak können sodann, auch kurzfristig, Auswirkungen auf die Sicherheitslage haben, insbesondere in den Grenzregionen. Trotz er- höhter Sicherheitsmassnahmen muss in allen Teilen des Landes grund- sätzlich von einer terroristischen Gefährdung ausgegangen werden, vor al- lem in den grösseren Städten (vgl. https://www.eda.ad- min.ch/eda/de/home/vertretungen-und-reisehinweise/tuerkei/reisehin- weise-fuerdietuerkei.html, abgerufen im August 2024; ferner Urteil des BVGer F-5280/2023 vom 15. November 2023 E. 5.3). Somit ist nicht zu beanstanden, dass die Vorinstanz das Risiko einer nicht fristgerechten Wiederausreise als allgemein hoch einschätzt. Dieses Risiko wird erfah- rungsgemäss noch erhöht, wenn im Ausland bereits ein soziales oder fa- miliäres Beziehungsnetz besteht, wie es vorliegend der Fall ist.</w:t>
      </w:r>
    </w:p>
    <w:p>
      <w:r>
        <w:rPr>
          <w:b/>
        </w:rPr>
        <w:t>E. 5.2</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w:t>
      </w:r>
    </w:p>
    <w:p>
      <w:r>
        <w:t>F-6605/2023 Seite 7 eines ausländerrechtlich nicht regelkonformen Verhaltens nach einer be- willigten Einreise als vergleichsweise hoch eingeschätzt werden (vgl. BVGE 2019 VII/1 E. 7.2; 2014/1 E. 6.3.1; 2009/27 E. 8).</w:t>
      </w:r>
    </w:p>
    <w:p>
      <w:r>
        <w:rPr>
          <w:b/>
        </w:rPr>
        <w:t>E. 6</w:t>
      </w:r>
    </w:p>
    <w:p>
      <w:r>
        <w:t>Nachfolgend gilt es zu prüfen, inwiefern die persönliche, familiäre, berufli- che und wirtschaftliche Situation der Gesuchstellenden für ihre fristge- rechte Ausreise aus der Schweiz spricht.</w:t>
      </w:r>
    </w:p>
    <w:p>
      <w:r>
        <w:rPr>
          <w:b/>
        </w:rPr>
        <w:t>E. 6.1</w:t>
      </w:r>
    </w:p>
    <w:p>
      <w:r>
        <w:t>Den vorinstanzlichen Akten ist zu entnehmen, dass die Gesuchstellen- den in ihrem Heimatland über Bekannte, Freundinnen, Verwandte, Kinder und Enkelkinder verfügen und zu diesen Kontakt pflegen. Sie würden Zeit mit der Familie verbringen und hätten gemeinsame Aktivitäten (Thermal- badbesuch, Skiurlaub; BVGer act. 1, SEM act. 6/137). Ausserdem würden sie als Hobby das Anbauen von Gemüse in ihrem Dorf betreiben (BVGer act. 1). Damit kann zwar nicht in Abrede gestellt werden, dass die Gesuch- stellenden in der Türkei über soziale Beziehungen verfügen. Allerdings können allein dadurch auch keine besonderen familiären oder gesellschaft- lichen Verpflichtungen begründet werden, welche die persönliche Präsenz der Gesuchstellenden in ihrem Heimatland zwingend erfordern würde. Aus ihrem sozialen Umfeld kann somit für die Beurteilung des Kriteriums der gesicherten Wiederausreise nichts abgeleitet werden, weshalb den wirt- schaftlichen Verhältnissen, in denen sie sich befinden, umso grössere Be- deutung zukommt.</w:t>
      </w:r>
    </w:p>
    <w:p>
      <w:r>
        <w:rPr>
          <w:b/>
        </w:rPr>
        <w:t>E. 6.2</w:t>
      </w:r>
    </w:p>
    <w:p>
      <w:r>
        <w:t>In diesem Zusammenhang kann Folgendes ausgeführt werden: Die (…)-jährige Gesuchstellerin ist Hausfrau; ihr (…)-jährige Ehemann ist pen- sioniert. Gemäss den Aussagen der Beschwerdeführerin würden die Ge- suchstellenden in stabilen wirtschaftlichen Verhältnissen leben; so verfüge das Ehepaar über insgesamt vier Wohnungen in C._______. Eine Woh- nung würden die Gesuchstellenden bewohnen, die übrigen drei würden sie vermieten. Der Vater erhalte zudem eine Rente. Das Ehepaar habe ein Auto und keine Schulden (vgl. BVGer act. 1). Die Gesuchstellenden reich- ten dazu im vorliegenden Verfahren wie auch bereits im vorinstanzlichen Verfahren diverse Dokumente ein (unter anderem Bankkontoauszüge, Rentenbescheinigung, Mietverträge, Grundbuchauszüge). In der Be- schwerde wurde überdies ausgeführt, dass der Gesuchsteller über ein Bankkonto mit einem Guthaben von über EUR 5'593.47 verfüge. Auf dem Bankkonto der Mutter sei ein Betrag von TYR 126'630.05 vermerkt (vgl. auch Beschwerdebeilagen).</w:t>
      </w:r>
    </w:p>
    <w:p>
      <w:r>
        <w:t>F-6605/2023 Seite 8</w:t>
      </w:r>
    </w:p>
    <w:p>
      <w:r>
        <w:rPr>
          <w:b/>
        </w:rPr>
        <w:t>E. 6.3</w:t>
      </w:r>
    </w:p>
    <w:p>
      <w:r>
        <w:t>Entgegen den vorinstanzlichen Ausführungen (vgl. Verfügung vom 31. Oktober 2023 S. 4 oben) lassen sich den Akten diverse Dokumente mit Angaben zu den Immobilien der Gesuchstellenden entnehmen (SEM act. 3/88 ff.). Die finanzielle Situation der Gesuchstellenden, wie sie sich aus den eingereichten Unterlagen ergibt, ist jedoch unklar, wie nachfolgend aufgezeigt wird.</w:t>
      </w:r>
    </w:p>
    <w:p>
      <w:r>
        <w:rPr>
          <w:b/>
        </w:rPr>
        <w:t>E. 6.3.1</w:t>
      </w:r>
    </w:p>
    <w:p>
      <w:r>
        <w:t>Gemäss den Angaben der Beschwerdeführenden und den einge- reichten Mietverträgen sollen die Gesuchstellenden monatliche Mietzin- seinnahmen von TYR 36'000.00 (TYR 15'000 [SEM act. 3/97], TYR 12'000 [SEM act. 3/95] und TYR 9'000 [SEM act. 3/55]; total zirka SFR 935.10) erzielen. Die monatliche Zahlung wurde in den jeweiligen Mietverträgen ausdrücklich vereinbart. Auf den eingereichten Bankkontoauszügen der Gesuchstellenden sind jedoch keine entsprechenden (monatlichen) Ein- zahlungen vermerkt. Dem Auszug des Bankkontos Nr. (…) des Gesuch- stellers ist lediglich zu entnehmen, dass ihm (in der Zeitperiode vom 1. Ja- nuar bis 7. August 2023) jeweils monatlich die Rente über TYR 6'345.79 (zirka SFR 167.66) ausbezahlt wurde. Es erstaunt somit nicht, dass das Bankkonto des Gesuchstellers am 3. August 2023 einen Schlusssaldo von lediglich TYR 319.35 (zirka SRF 8.55) aufweist (SEM act. 3/109 f.; auch SEM act. 119). Der Beleg über das Sparkonto des Gesuchstellers zeigt zwar, dass er am 11. Oktober 2023 über einen Betrag von EUR 5'593.47 (SEM act. 6/121) verfügte. Ob es sich dabei um selbst erwirtschaftetes Geld handelt, kann hingegen mangels Vorlage einer detaillierten Aufstel- lung der Ein- und Auszahlungen nicht festgestellt werden.</w:t>
      </w:r>
    </w:p>
    <w:p>
      <w:r>
        <w:rPr>
          <w:b/>
        </w:rPr>
        <w:t>E. 6.3.2</w:t>
      </w:r>
    </w:p>
    <w:p>
      <w:r>
        <w:t>Der Auszug des Bankkontos Nr. (…) der Gesuchstellerin zeigt am 5. August 2023 einen Endsaldo über TYR 1'566.43 (zirka SFR 41.33; SEM act. 3/62 f.). Gemäss einem weiteren Auszug desselben Kontos für den Zeitraum vom 6. Juli 2023 bis 8. Oktober 2023 erhöhte sich der Kontostand per 6. Oktober 2023 auf TYR 126'630.05 (zirka SFR 3'346.-; SEM act. 6/129; Beilage BVGer act. 1), insbesondere weil am 29. September 2023 eine Einzahlung von TYR 120'000.00 auf das Konto erfolgte. Der Grund dafür bleibt unbekannt, weshalb offenbleibt, ob es sich allenfalls um eine Unterstützungszahlung handelt. Ein weiteres Konto (Nr. […]) der Gesuch- stellerin zeigt einen Schlusssaldo von TYR 480.00 (zirka SFR 12.00; SEM act. 3/61; vgl. auch Beschwerdebeilage).</w:t>
      </w:r>
    </w:p>
    <w:p>
      <w:r>
        <w:rPr>
          <w:b/>
        </w:rPr>
        <w:t>E. 6.4</w:t>
      </w:r>
    </w:p>
    <w:p>
      <w:r>
        <w:t>Vor diesem Hintergrund kann nicht davon ausgegangen werden, die Gesuchstellenden würden in der Türkei in stabilen wirtschaftlichen Verhält- nissen leben, welche sie von einer Emigration abzuhalten vermöchten.</w:t>
      </w:r>
    </w:p>
    <w:p>
      <w:r>
        <w:t>F-6605/2023 Seite 9</w:t>
      </w:r>
    </w:p>
    <w:p>
      <w:r>
        <w:rPr>
          <w:b/>
        </w:rPr>
        <w:t>E. 6.5</w:t>
      </w:r>
    </w:p>
    <w:p>
      <w:r>
        <w:t>Weiter kann auch nichts davon abgeleitet werden, dass die Gesuch- stellerin ihre Tochter bereits früher mit einem Schengen-Visum in der Schweiz besucht hat (vgl. dazu auch E. 7.3 in fine) oder dass die Be- schwerdeführerin selbst während ihres Studiums in der Türkei mehrmals ein Visum für einen Besuchsaufenthalt in der Schweiz erhalten hat. Jedes Gesuch wird denn auch individuell auf der Grundlage der zum Zeitpunkt der Gesuchstellung vorliegenden Informationen geprüft. Ein in der Vergan- genheit bereits erteiltes Visum begründet keinen Anspruch auf eine erneut positive Beurteilung. Unerheblich bleibt auch, dass die Gesuchstellenden gemäss Aussagen der Beschwerdeführenden in ihren jungen Jahren selbst aufgrund der Wirtschaftskrise nicht hätten auswandern wollen, obwohl sie nicht über die Ersparnisse und Vermögenswerte verfügten, die sie heute hätten, und in keinem Land je um Asyl ersucht hätten (vgl. Beschwerde). Es gilt zu bedenken, dass aufgrund des fortgeschrittenen Alters der Ge- suchstellenden auch andere Gründe eine Rolle spielen könnten, wie bei- spielsweise die Verfügbarkeit der medizinischen Versorgung oder die Be- treuung im Alter. In dieser Hinsicht kann auch nicht unbeachtlich bleiben, dass zwei Töchter der Gesuchstellenden in der Schweiz leben. Gemäss einem Schreiben vom 27. Dezember 2023 lebt sowohl die Beschwerde- führerin wie auch eine weitere Tochter mit ihrem Lebenspartner und deren Kind in der Schweiz (vgl. Beilage zu BVGer act. 4).</w:t>
      </w:r>
    </w:p>
    <w:p>
      <w:r>
        <w:rPr>
          <w:b/>
        </w:rPr>
        <w:t>E. 6.6</w:t>
      </w:r>
    </w:p>
    <w:p>
      <w:r>
        <w:t>Im Ergebnis ging die Vorinstanz zu Recht davon aus, die Wiederaus- reise der Gesuchstellenden sei nicht ausreichend gesichert. Da es bereits an dieser Voraussetzung mangelt, ist nicht mehr auf die Frage einzugehen, ob die Gastgeber garantiefähig sind. Ohnehin können die Beschwerdefüh- renden lediglich als Gastgeber mit rechtlich verbindlicher Wirkung für ge- wisse finanzielle Risiken im Zusammenhang mit dem Besuchsaufenthalt einstehen, nicht aber für ein bestimmtes Verhalten der eingeladenen Per- son (vgl. BVGE 2014/1 E. 6.3.7 und BVGE 2009/27 E. 9). Nichts abgeleitet werden kann auch aus dem Umstand, dass die Gesuchstellenden bereit wären, beim Schweizer Konsulat in der Türkei eine Erklärung zu unter- zeichnen, dass sie kein Asyl beantragen würden (vgl. Beschwerde), müs- sen doch gewisse völkerrechtlich verankerte Rechtspositionen immer zwingend beachtet werden (bspw. Art. 3 EMRK).</w:t>
      </w:r>
    </w:p>
    <w:p>
      <w:r>
        <w:rPr>
          <w:b/>
        </w:rPr>
        <w:t>E. 7.1</w:t>
      </w:r>
    </w:p>
    <w:p>
      <w:r>
        <w:t>Die Beschwerdeführenden berufen sich sinngemäss auf das in Art. 8 EMRK statuierte Recht auf Achtung des Familienlebens und machen dazu geltend, die Beschwerdeführerin könne sich nicht in einem anderen Land</w:t>
      </w:r>
    </w:p>
    <w:p>
      <w:r>
        <w:t>F-6605/2023 Seite 10 mit ihren Eltern treffen. Aufgrund der aktuellen Situation in der Türkei sei es unwahrscheinlich, dass andere touristische Länder Schengen-Visa aus- stellen würden. So habe Frankreich letztes Jahr den Antrag ihres Vaters abgelehnt. Es sei für sie nicht sicher, die Eltern in Ländern zu treffen, die kein Visumsabkommen mit der Türkei hätten. Viele solche Länder würden Menschen, mit «politischen Akten» an die Türkei ausliefern. Ein Treffen sei somit nur möglich, wenn das vorliegend beantragte Visum ausgestellt würde.</w:t>
      </w:r>
    </w:p>
    <w:p>
      <w:r>
        <w:rPr>
          <w:b/>
        </w:rPr>
        <w:t>E. 7.2</w:t>
      </w:r>
    </w:p>
    <w:p>
      <w:r>
        <w:t>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w:t>
      </w:r>
    </w:p>
    <w:p>
      <w:r>
        <w:rPr>
          <w:b/>
        </w:rPr>
        <w:t>E. 7.3</w:t>
      </w:r>
    </w:p>
    <w:p>
      <w:r>
        <w:t>Die Frage, ob ein solches besteht, kann vorliegend jedoch offengelas- sen werden, liegt doch in der Regel kein Eingriff in den Schutzbereich des Familienlebens vor, wenn den Beteiligten zugemutet werden kann, das Fa- milienleben beziehungsweise familiäre Kontakte ausserhalb der Schweiz zu pflegen (BGE 144 II 1 E. 6.1; 143 I 21 E. 5.1). Den Beschwerdeführen- den ist zwar aufgrund ihrer Anerkennung als Flüchtlinge nicht möglich, die Eltern der Beschwerdeführerin in der Türkei zu besuchen. Jedoch ist ihnen zuzumuten, den Kontakt zu den Gesuchstellenden auf andere Weise zu pflegen, als durch einen persönlichen Besuch (Telefon, Skype usw.). Auch wäre es den Beschwerdeführenden als Inhaber von Aufenthaltsbewilligun- gen (vgl. Beschwerdebeilagen) grundsätzlich möglich, die Gesuchstellen- den in einem Drittstaat zu treffen (Urteil des BVGer F-1990/2022 vom 28. September 2022 E. 6.3), zumal Inhaber eines türkischen Reisepasses in über siebzig Länder ohne Visum einreisen dürfen (vgl. visumfreie Länder für Inhaber eines türkischen Reisepasses; https://visaindex.com/de/ver- gleichen/?between=reisepass-ranking-tuerkei; besucht im August 2024). Weiter ist darauf zu verweisen, dass die Beschwerdeführerin ihre Mutter im Jahr 2022 in der Schweiz getroffen hat. Die französische Vertretung stellte dieser ein Schengen-Visum, gültig vom 15. August bis 14. Septem- ber 2022, aus; ein entsprechendes Gesuch des Gesuchstellers wurde hin- gegen abgelehnt (SEM act. 3/50, 6/138).</w:t>
      </w:r>
    </w:p>
    <w:p>
      <w:r>
        <w:t>F-6605/2023 Seite 11</w:t>
      </w:r>
    </w:p>
    <w:p>
      <w:r>
        <w:rPr>
          <w:b/>
        </w:rPr>
        <w:t>E. 7.4</w:t>
      </w:r>
    </w:p>
    <w:p>
      <w:r>
        <w:t>Vorliegend bestehen keine Gründe, den Gesuchstellenden Visa mit räumlich beschränkter Gültigkeit auszustellen.</w:t>
      </w:r>
    </w:p>
    <w:p>
      <w:r>
        <w:rPr>
          <w:b/>
        </w:rPr>
        <w:t>E. 8</w:t>
      </w:r>
    </w:p>
    <w:p>
      <w:r>
        <w:t>Die angefochtene Verfügung erweist sich als rechtmässig (Art. 49 VwVG). Die Beschwerde ist abzuweisen.</w:t>
      </w:r>
    </w:p>
    <w:p>
      <w:r>
        <w:rPr>
          <w:b/>
        </w:rPr>
        <w:t>E. 9</w:t>
      </w:r>
    </w:p>
    <w:p>
      <w:r>
        <w:t>Entsprechend dem Verfahrensausgang sind die Kosten den unterliegen- den Beschwerdeführenden aufzuerlegen und auf Fr. 1’000.– festzusetzen (vgl. Art. 63 Abs. 1 VwVG i.V.m. Art. 1 ff. des Reglements vom 21. Februar 2008 über die Kosten und Entschädigungen vor dem Bundesverwaltungs- gericht [VGKE, SR 173.320.2]). Sie sind durch den geleisteten Kostenvor- schuss gedeckt.</w:t>
      </w:r>
    </w:p>
    <w:p>
      <w:r>
        <w:rPr>
          <w:b/>
        </w:rPr>
        <w:t>E. 10</w:t>
      </w:r>
    </w:p>
    <w:p>
      <w:r>
        <w:t>Das Bundesverwaltungsgericht entscheidet in der vorliegenden Angele- genheit endgültig (Art. 83 Bst. c Ziff. 1 BGG).</w:t>
      </w:r>
    </w:p>
    <w:p>
      <w:r>
        <w:t>(Dispositiv nächste Seite)</w:t>
      </w:r>
    </w:p>
    <w:p>
      <w:r>
        <w:t>F-6605/2023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