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F-657/2022 vom 1. Februar 2022</w:t>
      </w:r>
    </w:p>
    <w:p>
      <w:r>
        <w:t>Bundesverwaltungsgericht, 2022-02-01, DE</w:t>
      </w:r>
    </w:p>
    <w:p>
      <w:r>
        <w:rPr>
          <w:b/>
        </w:rPr>
        <w:t xml:space="preserve">Quelle: </w:t>
      </w:r>
      <w:r>
        <w:t>https://mcp.opencaselaw.ch/entscheid/bvger_F-657_2022_d20220201</w:t>
      </w:r>
    </w:p>
    <w:p>
      <w:r>
        <w:t>FR: TAF F-657/2022 du 1 février 2022</w:t>
      </w:r>
    </w:p>
    <w:p>
      <w:r>
        <w:t>IT: TAF F-657/2022 del 1 febbraio 2022</w:t>
      </w:r>
    </w:p>
    <w:p>
      <w:pPr>
        <w:pStyle w:val="Heading2"/>
      </w:pPr>
      <w:r>
        <w:t>Regeste</w:t>
      </w:r>
    </w:p>
    <w:p>
      <w:r>
        <w:t>Nichteintreten auf Asylgesuch und Wegweisung (Dublin-Verfahren) | Nichteintreten auf Asylgesuch und Wegweisung (Dublin-Verfahren); Verfügung des SEM vom 1. Februar 2022</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sich daraus ergebenden völkerrechtlichen Verpflichtungen nachkommt, dass auch anzunehmen ist, Österreich anerkenne und schütze weiterhin die Rechte, die sich für Schutzsuchende aus den Richtlinien des Europäi- schen Parlaments und des Rates 2013/32/EU vom 26. Juni 2013 zu ge- meinsamen Verfahren für die Zuerkennung und Aberkennung des interna- tionalen Schutzes (sog. Verfahrensrichtlinie, ABl. L 180/96 vom 29. Juni 2013) sowie 2013/33/EU vom 26. Juni 2013 zur Festlegung von Normen für die Aufnahme von Personen, die internationalen Schutz beantragen (sog. Aufnahmerichtlinie, ABl. L 180/96 vom 29. Juni 2013), ergeben, dass zu diesen Rechten der Zugang zur erforderlichen medizinischen Ver- sorgung gehört, die zumindest die Notversorgung und die unbedingt erfor- derliche Behandlung von Krankheiten und schweren psychischen Störun- gen umfasst (Art. 19 Aufnahmerichtlinie),</w:t>
      </w:r>
    </w:p>
    <w:p>
      <w:r>
        <w:t>F-657/2022 Seite 6 dass zwar die Vermutung, Österreich halte seine völkerrechtlichen Ver- pflichtungen ein, im Einzelfall widerlegt werden kann, es hierfür aber kon- kreter und ernsthafter Hinweise bedarf, die gegebenenfalls vom Betroffe- nen glaubhaft darzutun sind (vgl. BVGE 2010/45 E. 7.4 f.; Urteil des BVGer D-5698/2017 vom 6. März 2018 E. 5.3.1), dass der Beschwerdeführer mit seinen allgemeinen Einwänden zur Situa- tion in Österreich nichts vorträgt, was geeignet wäre, die Vermutung einer völker- und gemeinschaftsrechtskonformen Behandlung durch die österrei- chischen Behörden ernsthaft zu erschüttern, dass dasselbe gilt in Bezug auf die offensichtlich frei erfundenen Ausfüh- rungen des Beschwerdeführers zu seinen persönlichen, zwei Jahre Aufent- halt in Österreich umfassenden Erfahrungen mit dem dortigen Asylsystem, dass der Beschwerdeführer nämlich sein Heimatland Afghanistan gemäss eigener Darstellung im Rahmen der am 22. Dezember 2022 erfolgten Auf- nahme seiner Personalien erst am 11. September 2021 verlassen (SEM-act. 11) und ein Asylgesuch in Österreich gemäss Abgleich mit der Eurodac-Datenbank erst am 23. November 2021 gestellt hat (SEM-act. 7), dass schliesslich eine Überstellung von Personen mit gesundheitlichen Problemen nur ganz ausnahmsweise einen Verstoss gegen Art. 3 EMRK darstellen kann (zu den hohen Anforderungen vgl. dazu etwa Urteil des BVGer E-452/2022 vom 2. Februar 2022 E. 6.3.2 m.H.), dass Österreich bekanntermassen über eine mit der Schweiz gleichwertige medizinische Infrastruktur verfügt und nichts die Annahme rechtfertigt, die- ses Land könnte seine sich aus der Aufnahmerichtlinie ergebenden Ver- pflichtungen verletzen und dem Beschwerdeführer die notwendige medizi- nische Versorgung verweigern, dass die Vorinstanz unter den gegebenen Umständen ohne Verletzung des Untersuchungsgrundsatzes auf weitere Beweiserhebungen verzichten und aufgrund der eigenen Darstellung des Beschwerdeführers davon ausge- hen durfte, die von ihm beschriebenen gesundheitlichen Probleme könnten auch in Österreich weiter abgeklärt und adäquat behandelt werden, dass die schweizerischen Behörden, die mit dem Vollzug der angefochten Verfügung beauftragt sind, den medizinischen Umständen bei der Bestim- mung der konkreten Modalitäten der Überstellung der Beschwerdeführen-</w:t>
      </w:r>
    </w:p>
    <w:p>
      <w:r>
        <w:t>F-657/2022 Seite 7 den Rechnung tragen und die österreichischen Behörden vorgängig in ge- eigneter Weise über die spezifischen medizinischen Umstände informieren werden (vgl. Art. 31 f. Dublin-III-VO), dass den Ausführungen des Beschwerdeführers somit nichts entnommen werden kann, was der Schweiz Anlass geben könnte oder sie gar verpflich- ten würden, von ihrem Selbsteintrittsrecht nach Art. 17 Abs. 1 Satz 1 Dub- lin-III-VO Gebrauch zu machen, dass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 weil er nicht im Besitz einer gültigen Aufenthalts- oder Niederlas- sungsbewilligung ist – in Anwendung von Art. 44 AsylG die Überstellung nach Österreich angeordnet hat (Art. 32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m.H.), dass die Beschwerde aus diesen Gründen abzuweisen und die Verfügung der Vorinstanz zu bestätigen ist, dass das Beschwerdeverfahren mit vorliegendem Urteil abgeschlossen ist, weshalb sich der Antrag auf Gewährung der aufschiebenden Wirkung als gegenstandslos erweist, dass das mit der Beschwerde gestellte Gesuch um Gewährung der unent- geltlichen Prozessführung abzuweisen ist, da die Begehren – wie sich aus den vorstehenden Erwägungen ergibt – aussichtslos waren, weshalb die Voraussetzungen von Art. 65 Abs. 1 VwVG nicht erfüllt sind, dass bei diesem Ausgang des Verfahrens die Kosten von Fr. 750.– (Art. 1 – 3 des Reglements vom 21. Februar 2008 über die Kosten und Ent- schädigungen vor dem Bundesverwaltungsgericht [VGKE, SR 173.320.2]) dem Beschwerdeführer aufzuerlegen sind (Art. 63 Abs. 1 VwVG).</w:t>
      </w:r>
    </w:p>
    <w:p>
      <w:r>
        <w:t>F-657/2022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