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F-6579/2020 vom 14. Februar 2022</w:t>
      </w:r>
    </w:p>
    <w:p>
      <w:r>
        <w:t>Bundesverwaltungsgericht, 2022-02-14, DE</w:t>
      </w:r>
    </w:p>
    <w:p>
      <w:r>
        <w:rPr>
          <w:b/>
        </w:rPr>
        <w:t xml:space="preserve">Quelle: </w:t>
      </w:r>
      <w:r>
        <w:t>https://mcp.opencaselaw.ch/entscheid/bvger_F-6579_2020</w:t>
      </w:r>
    </w:p>
    <w:p>
      <w:r>
        <w:t>FR: TAF F-6579/2020 du 14 février 2022</w:t>
      </w:r>
    </w:p>
    <w:p>
      <w:r>
        <w:t>IT: TAF F-6579/2020 del 14 febbraio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3.2.2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auch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6</w:t>
      </w:r>
    </w:p>
    <w:p>
      <w:r>
        <w:t>Die Beschwerdeführerin bringt vor, sie sei eine im Jahr (...) errichtete «privatnützige» Stiftung mit Sitz in Vaduz, Fürstentum Liechtenstein. Als wirtschaftlich Begünstigte der Stiftung sei A._______ eingesetzt worden. Mit ihrem Tod am (...) sei ihre Steuerpflicht in Frankreich erloschen. Ihre wirtschaftliche Berechtigung am Vermögen der Stiftung sei nicht auf Nachkommen übergegangen. Der Stiftungsrat verfüge nun über das Stiftungsvermögen. Die Stiftung sei nicht im Handelsregister eingetragen, da sie kein kaufmännisches Gewerbe führe. Aufgrund des fehlenden Bezugs zu Frankreich sei sie dort nicht steuerpflichtig. Als juristische Person mit Sitz in Liechtenstein sei sie auch nicht verpflichtet gewesen, den französischen Behörden ihr Bankkonto im Sinne von Art. 1649 A des französischen «Code général des impôts» zu deklarieren. Der Domizil-Code betreffend die UBS-Kundebeziehung Nr. (...) (lautend auf X._______), der auf ihre steuerliche Ansässigkeit in Frankreich hindeuten solle, erweise sich somit als offenkundig falsch. Nach der Rechtsprechung des Bundesgerichts sei es im Amtshilfeverfahren die Aufgabe der ersuchten Schweizer Behörde zu prüfen, ob eine Steuerpflicht der von der Amtshilfe betroffenen Person im ersuchenden Staat bestehe. Nur bei einer möglichen Steuerpflicht des Betroffenen in zwei verschiedenen Staaten sei es nicht Aufgabe der Schweizer Behörde, diesen Steuerkonflikt zu lösen, da sie dazu nicht über die nötigen Grundlagen verfüge (BGE 142 II 161; 142 II 218). Die Schweizer Behörden seien im vorliegenden Fall im Besitz aller relevanten Fakten und Beweismittel zur Bestimmung ihres steuerlichen Wohnsitzes. Mit der beabsichtigten Übermittlung der in Frage stehenden Informationen würde einem Amtshilfeersuchen Folge geleistet, mit welchem Auskünfte verlangt würden, die offensichtlich nicht zu einer (nachträglichen) Besteuerung im ersuchenden Staat führen würden. Dem Amtshilfeersuchen der DGFP vom 11. Mai 2016 sei deshalb nicht stattzugeben. Dieses stelle im Ergebnis eine «fishing expedition» dar, der gemäss bundesgerichtlicher Rechtsprechung keine Hand zu bieten sei.</w:t>
      </w:r>
    </w:p>
    <w:p>
      <w:r>
        <w:rPr>
          <w:b/>
        </w:rPr>
        <w:t>E. 7.1</w:t>
      </w:r>
    </w:p>
    <w:p>
      <w:r>
        <w:t>Das Bundesgericht hat das Amtshilfeersuchen Frankreichs vom 11. Mai 2016 im Rahmen von BGE 146 II 150 beurteilt und für zulässig erachtet (vgl. Sachverhalt Bst. E.c). Es führte unter anderem aus, das vorliegende Listenersuchen, welches die betroffenen Personen nicht namentlich identifiziere, habe analog zur Handhabung bei Gruppenersuchen drei Kriterien zu erfüllen. Danach müsse die ersuchende Behörde in ihrem Ersuchen (BGE 146 II 150 E. 6.1.3 und E. 6.2): (i) eine detaillierte Beschreibung der Gruppe geben, welche die spezifischen Tatsachen und Umstände beschreibt, die zum Ersuchen geführt haben; (ii) das anwendbare (Steuer-) 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Das Bundesgericht erachtete alle drei Kriterien als erfüllt und hielt hinsichtlich des primär strittigen Kriteriums (ii) fest, das Amtshilfeersuchen nenne hinreichend konkrete Verdachtsmomente für ein steuerrechtswidriges Verhalten der Personen hinter den Listen B und C und damit der von den acht Schlussverfügungen betroffenen Personen. Es liege keine «fishing expedition» vor und die voraussichtliche Erheblichkeit der ersuchten Informationen sei zu bejahen (BGE 146 II 150 E. 6.3).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Nachfolgend ist daher einzig auf das individuelle Vorbringen der Beschwerdeführerin für eine Amtshilfeverweigerung - eine fehlende Steuerpflicht in Frankreich - einzugehen (vgl. E. 2.3).</w:t>
      </w:r>
    </w:p>
    <w:p>
      <w:r>
        <w:rPr>
          <w:b/>
        </w:rPr>
        <w:t>E. 7.2.1</w:t>
      </w:r>
    </w:p>
    <w:p>
      <w:r>
        <w:t>Die Beschwerdeführerin hält den Domizil-Code betreffend die UBS-Kundebeziehung Nr. [...] (lautend auf X._______) für offensichtlich falsch, da sie keine Anknüpfungspunkte zu Frankreich habe.</w:t>
      </w:r>
    </w:p>
    <w:p>
      <w:r>
        <w:rPr>
          <w:b/>
        </w:rPr>
        <w:t>E. 7.2.2</w:t>
      </w:r>
    </w:p>
    <w:p>
      <w:r>
        <w:t>Der Bezug zu Frankreich wird vorliegend durch die in den UBS-Listen aufgeführten Domizil-Codes hergestellt. Indem das Bundesgericht das vorliegende Amtshilfeersuchen vom 11. Mai 2016 als zulässig beurteilt hat, hat es implizit auch den Domizil-Code als hinreichenden Anknüpfungspunkt für eine mögliche Steuerpflicht in Frankreich (für die Jahre 2010 bis 2015) qualifiziert. Die Beschwerdeführerin beziehungsweise ihre individuelle Banknummer befand sich unbestrittenermassen auf den UBS-Listen, und zwar in Verbindung mit dem Domizil-Code für Frankreich. Entgegen der Ansicht der Beschwerdeführerin ist es im Rahmen des Amtshilfeverfahrens nicht Aufgabe der Schweizer Behörden zu prüfen, ob nach französischem Recht ein Steuerwohnsitz in Frankreich besteht (BGE 145 II 112 E. 2.2.2; 142 II 161 E. 2.2.2; Urteil des BGer 2C_805/2018 vom 23. August 2019 E. 4.5). Des Weiteren ist die ehemals an der X._______ (Beschwerdeführerin) wirtschaftlich Berechtigte am (...) verstorben. Gemäss der Todesbescheinigung des Zivilstandsamts B._______, Frankreich, war sie im Jahr 2011 in Frankreich wohnhaft. Damit ist ein steuerrechtlicher Anknüpfungspunkt zu Frankreich gegeben. Folglich ist von der voraussichtlichen Erheblichkeit der zur Übermittlung vorgesehenen Informationen betreffend die Beschwerdeführerin auszugehen; es liegt keine «fishing expedition» vor.</w:t>
      </w:r>
    </w:p>
    <w:p>
      <w:r>
        <w:rPr>
          <w:b/>
        </w:rPr>
        <w:t>E. 8</w:t>
      </w:r>
    </w:p>
    <w:p>
      <w:r>
        <w:t>Nach dem Gesagten sind die Voraussetzungen für die in der Schlussverfügung vom 27. November 2020 vorgesehene Amtshilfeleistung erfüllt. Die Beschwerde ist abzuweisen.</w:t>
      </w:r>
    </w:p>
    <w:p>
      <w:r>
        <w:rPr>
          <w:b/>
        </w:rPr>
        <w:t>E. 9.1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9.2</w:t>
      </w:r>
    </w:p>
    <w:p>
      <w:r>
        <w:t>Der unterliegenden Beschwerdeführerin ist keine Parteientschädigung zuzusprechen (Art. 64 Abs. 1 VwVG e contrario und Art. 7 Abs. 1 VGKE e contrario).</w:t>
      </w:r>
    </w:p>
    <w:p>
      <w:r>
        <w:rPr>
          <w:b/>
        </w:rPr>
        <w:t>E. 10</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